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77" w:type="dxa"/>
        <w:tblLayout w:type="fixed"/>
        <w:tblCellMar>
          <w:left w:w="0" w:type="dxa"/>
          <w:right w:w="0" w:type="dxa"/>
        </w:tblCellMar>
        <w:tblLook w:val="0000" w:firstRow="0" w:lastRow="0" w:firstColumn="0" w:lastColumn="0" w:noHBand="0" w:noVBand="0"/>
      </w:tblPr>
      <w:tblGrid>
        <w:gridCol w:w="4252"/>
        <w:gridCol w:w="4025"/>
      </w:tblGrid>
      <w:tr w:rsidR="00CF75B4" w:rsidRPr="00CF75B4" w14:paraId="182DF0F2" w14:textId="77777777" w:rsidTr="00CF75B4">
        <w:trPr>
          <w:trHeight w:val="850"/>
        </w:trPr>
        <w:tc>
          <w:tcPr>
            <w:tcW w:w="4252" w:type="dxa"/>
          </w:tcPr>
          <w:p w14:paraId="5F0E303B" w14:textId="1FF4F1EA" w:rsidR="00CF75B4" w:rsidRPr="00CF75B4" w:rsidRDefault="00CF75B4" w:rsidP="00CF75B4">
            <w:pPr>
              <w:pStyle w:val="Normalutanavstnd"/>
            </w:pPr>
            <w:r w:rsidRPr="00CF75B4">
              <w:t>2026-08-</w:t>
            </w:r>
            <w:r w:rsidR="002C1BE5">
              <w:t>21</w:t>
            </w:r>
          </w:p>
        </w:tc>
        <w:tc>
          <w:tcPr>
            <w:tcW w:w="4025" w:type="dxa"/>
            <w:tcMar>
              <w:bottom w:w="567" w:type="dxa"/>
            </w:tcMar>
          </w:tcPr>
          <w:p w14:paraId="4E704E56" w14:textId="77777777" w:rsidR="00CF75B4" w:rsidRPr="00CF75B4" w:rsidRDefault="00CF75B4" w:rsidP="00CF75B4">
            <w:pPr>
              <w:pStyle w:val="Normalutanavstnd"/>
            </w:pPr>
            <w:r w:rsidRPr="00CF75B4">
              <w:t>endast per e-post till:</w:t>
            </w:r>
          </w:p>
          <w:p w14:paraId="3E5D3102" w14:textId="457A0D29" w:rsidR="00CF75B4" w:rsidRPr="00CF75B4" w:rsidRDefault="00CF75B4" w:rsidP="00CF75B4">
            <w:pPr>
              <w:pStyle w:val="Normalutanavstnd"/>
            </w:pPr>
            <w:r w:rsidRPr="00CF75B4">
              <w:t>konsumentverket@konsumentverket.se</w:t>
            </w:r>
          </w:p>
        </w:tc>
      </w:tr>
    </w:tbl>
    <w:p w14:paraId="683B6F98" w14:textId="70EFA50F" w:rsidR="006F00EF" w:rsidRPr="00CF75B4" w:rsidRDefault="00CF75B4" w:rsidP="00CF75B4">
      <w:pPr>
        <w:pStyle w:val="Huvudrubrik"/>
      </w:pPr>
      <w:r>
        <w:t xml:space="preserve">Förslag till </w:t>
      </w:r>
      <w:r w:rsidRPr="00CF75B4">
        <w:t>Konsumentverkets allmänna råd om konsumentkrediter</w:t>
      </w:r>
      <w:r>
        <w:t xml:space="preserve"> (KOVFS 2026:X)</w:t>
      </w:r>
    </w:p>
    <w:p w14:paraId="43E490EF" w14:textId="77777777" w:rsidR="00CF75B4" w:rsidRPr="005E25FF" w:rsidRDefault="00CF75B4" w:rsidP="00CF75B4">
      <w:pPr>
        <w:rPr>
          <w:rFonts w:eastAsia="Arial"/>
        </w:rPr>
      </w:pPr>
      <w:bookmarkStart w:id="0" w:name="xxDocument"/>
      <w:bookmarkEnd w:id="0"/>
    </w:p>
    <w:p w14:paraId="3299053B" w14:textId="77777777" w:rsidR="00CF75B4" w:rsidRPr="005E25FF" w:rsidRDefault="00CF75B4" w:rsidP="00CF75B4">
      <w:pPr>
        <w:rPr>
          <w:rFonts w:eastAsia="Arial"/>
        </w:rPr>
      </w:pPr>
      <w:r>
        <w:rPr>
          <w:rFonts w:eastAsia="Arial"/>
        </w:rPr>
        <w:t>Svenska Bankföreningen</w:t>
      </w:r>
      <w:r w:rsidRPr="005E25FF">
        <w:rPr>
          <w:rFonts w:eastAsia="Arial"/>
        </w:rPr>
        <w:t xml:space="preserve"> välkomnar möjligheten att lämna synpunkter på Konsumentverkets förslag till nya allmänna råd om konsumentkrediter. </w:t>
      </w:r>
      <w:r>
        <w:rPr>
          <w:rFonts w:eastAsia="Arial"/>
        </w:rPr>
        <w:t>Svenska Bankföreningen</w:t>
      </w:r>
      <w:r w:rsidRPr="005E25FF">
        <w:rPr>
          <w:rFonts w:eastAsia="Arial"/>
        </w:rPr>
        <w:t xml:space="preserve"> delar Konsumentverkets ambition att åstadkomma en enhetlig och tydlig tillämpning av regelverket och att stärka konsumentskyddet på kreditmarknaden.</w:t>
      </w:r>
    </w:p>
    <w:p w14:paraId="336A6B32" w14:textId="77777777" w:rsidR="00CF75B4" w:rsidRPr="005E25FF" w:rsidRDefault="00CF75B4" w:rsidP="00CF75B4">
      <w:pPr>
        <w:rPr>
          <w:rFonts w:eastAsia="Arial"/>
        </w:rPr>
      </w:pPr>
    </w:p>
    <w:p w14:paraId="149F30F0" w14:textId="77777777" w:rsidR="00CF75B4" w:rsidRPr="005E25FF" w:rsidRDefault="00CF75B4" w:rsidP="00CF75B4">
      <w:pPr>
        <w:rPr>
          <w:rFonts w:eastAsia="Arial"/>
        </w:rPr>
      </w:pPr>
      <w:r>
        <w:rPr>
          <w:rFonts w:eastAsia="Arial"/>
        </w:rPr>
        <w:t>Svenska Bankföreningen</w:t>
      </w:r>
      <w:r w:rsidRPr="005E25FF">
        <w:rPr>
          <w:rFonts w:eastAsia="Arial"/>
        </w:rPr>
        <w:t xml:space="preserve"> vill dock framföra ett antal synpunkter.</w:t>
      </w:r>
      <w:r>
        <w:rPr>
          <w:rFonts w:eastAsia="Arial"/>
        </w:rPr>
        <w:t xml:space="preserve"> Vi ber även Konsumentverket att avstå från att införa vissa råd tills dess att dessa råds förenlighet med GDPR kan konstateras, samt tills dess att näringsidkarna fått tillräcklig tid att anpassa sin verksamhet till de nya råden. </w:t>
      </w:r>
    </w:p>
    <w:p w14:paraId="3CE9F884" w14:textId="77777777" w:rsidR="00CF75B4" w:rsidRPr="005E25FF" w:rsidRDefault="00CF75B4" w:rsidP="00CF75B4">
      <w:pPr>
        <w:rPr>
          <w:rFonts w:eastAsia="Arial"/>
        </w:rPr>
      </w:pPr>
    </w:p>
    <w:p w14:paraId="76EFB631" w14:textId="77777777" w:rsidR="00CF75B4" w:rsidRPr="000B3466" w:rsidRDefault="00CF75B4" w:rsidP="00CF75B4">
      <w:pPr>
        <w:rPr>
          <w:rFonts w:eastAsia="Arial"/>
          <w:i/>
          <w:iCs/>
        </w:rPr>
      </w:pPr>
      <w:r w:rsidRPr="000B3466">
        <w:rPr>
          <w:rFonts w:eastAsia="Arial"/>
          <w:i/>
          <w:iCs/>
        </w:rPr>
        <w:t>De allmänna rådens tillämplighet på tillståndspliktiga kreditgivare under Finansinspektionens tillsyn</w:t>
      </w:r>
    </w:p>
    <w:p w14:paraId="652D78A0" w14:textId="77777777" w:rsidR="00CF75B4" w:rsidRPr="005E25FF" w:rsidRDefault="00CF75B4" w:rsidP="00CF75B4">
      <w:pPr>
        <w:rPr>
          <w:rFonts w:eastAsia="Arial"/>
        </w:rPr>
      </w:pPr>
      <w:r w:rsidRPr="005E25FF">
        <w:rPr>
          <w:rFonts w:eastAsia="Arial"/>
        </w:rPr>
        <w:t xml:space="preserve">Av konsekvensutredningens avsnitt om berörda aktörer framgår att de allmänna råden riktar sig till samtliga näringsidkare som marknadsför eller lämnar konsumentkrediter, inklusive tillståndspliktiga aktörer som banker och kreditmarknadsbolag. </w:t>
      </w:r>
      <w:r>
        <w:rPr>
          <w:rFonts w:eastAsia="Arial"/>
        </w:rPr>
        <w:t>D</w:t>
      </w:r>
      <w:r w:rsidRPr="005E25FF">
        <w:rPr>
          <w:rFonts w:eastAsia="Arial"/>
        </w:rPr>
        <w:t>etta väcker frågor om de allmänna rådens tillämplighet gentemot sådana aktörer.</w:t>
      </w:r>
    </w:p>
    <w:p w14:paraId="1C7971A9" w14:textId="77777777" w:rsidR="00CF75B4" w:rsidRPr="005E25FF" w:rsidRDefault="00CF75B4" w:rsidP="00CF75B4">
      <w:pPr>
        <w:rPr>
          <w:rFonts w:eastAsia="Arial"/>
        </w:rPr>
      </w:pPr>
    </w:p>
    <w:p w14:paraId="7A0A2A92" w14:textId="77777777" w:rsidR="00CF75B4" w:rsidRPr="005E25FF" w:rsidRDefault="00CF75B4" w:rsidP="00CF75B4">
      <w:pPr>
        <w:rPr>
          <w:rFonts w:eastAsia="Arial"/>
        </w:rPr>
      </w:pPr>
      <w:r w:rsidRPr="005E25FF">
        <w:rPr>
          <w:rFonts w:eastAsia="Arial"/>
        </w:rPr>
        <w:t xml:space="preserve">Av FI:s remisspromemoria till de nya föreskrifterna med anledning av EU:s konsumentkreditdirektiv framgår att Konsumentverkets reglering för företag som är under Finansinspektionens tillsyn gäller "endast i tillämpliga delar." </w:t>
      </w:r>
      <w:r>
        <w:rPr>
          <w:rFonts w:eastAsia="Arial"/>
        </w:rPr>
        <w:t xml:space="preserve">Det är </w:t>
      </w:r>
      <w:r w:rsidRPr="005E25FF">
        <w:rPr>
          <w:rFonts w:eastAsia="Arial"/>
        </w:rPr>
        <w:t xml:space="preserve">inte </w:t>
      </w:r>
      <w:r>
        <w:rPr>
          <w:rFonts w:eastAsia="Arial"/>
        </w:rPr>
        <w:t xml:space="preserve">heller </w:t>
      </w:r>
      <w:r w:rsidRPr="005E25FF">
        <w:rPr>
          <w:rFonts w:eastAsia="Arial"/>
        </w:rPr>
        <w:t>Konsumentverket</w:t>
      </w:r>
      <w:r>
        <w:rPr>
          <w:rFonts w:eastAsia="Arial"/>
        </w:rPr>
        <w:t>,</w:t>
      </w:r>
      <w:r w:rsidRPr="005E25FF">
        <w:rPr>
          <w:rFonts w:eastAsia="Arial"/>
        </w:rPr>
        <w:t xml:space="preserve"> </w:t>
      </w:r>
      <w:r>
        <w:rPr>
          <w:rFonts w:eastAsia="Arial"/>
        </w:rPr>
        <w:t>utan</w:t>
      </w:r>
      <w:r w:rsidRPr="005E25FF">
        <w:rPr>
          <w:rFonts w:eastAsia="Arial"/>
        </w:rPr>
        <w:t xml:space="preserve"> Finansinspektionen</w:t>
      </w:r>
      <w:r>
        <w:rPr>
          <w:rFonts w:eastAsia="Arial"/>
        </w:rPr>
        <w:t>,</w:t>
      </w:r>
      <w:r w:rsidRPr="005E25FF">
        <w:rPr>
          <w:rFonts w:eastAsia="Arial"/>
        </w:rPr>
        <w:t xml:space="preserve"> </w:t>
      </w:r>
      <w:r>
        <w:rPr>
          <w:rFonts w:eastAsia="Arial"/>
        </w:rPr>
        <w:t xml:space="preserve">som </w:t>
      </w:r>
      <w:r w:rsidRPr="005E25FF">
        <w:rPr>
          <w:rFonts w:eastAsia="Arial"/>
        </w:rPr>
        <w:t>utövar tillsyn över hur banker efterlever kraven på god kreditgivningssed</w:t>
      </w:r>
      <w:r>
        <w:rPr>
          <w:rFonts w:eastAsia="Arial"/>
        </w:rPr>
        <w:t>. Detta följer av 9 kap 1 § nya konsumentkreditlagen</w:t>
      </w:r>
      <w:r w:rsidRPr="005E25FF">
        <w:rPr>
          <w:rFonts w:eastAsia="Arial"/>
        </w:rPr>
        <w:t>. Det innebär att banker och kreditmarknadsbolag vid en tillsynsprövning av god kreditgivningssed primärt kommer att hänvisas till FI:s egna allmänna råd, inte till Konsumentverkets.</w:t>
      </w:r>
      <w:r>
        <w:rPr>
          <w:rStyle w:val="Fotnotsreferens"/>
          <w:rFonts w:eastAsia="Arial"/>
        </w:rPr>
        <w:footnoteReference w:id="1"/>
      </w:r>
    </w:p>
    <w:p w14:paraId="73101C7F" w14:textId="77777777" w:rsidR="00CF75B4" w:rsidRPr="005E25FF" w:rsidRDefault="00CF75B4" w:rsidP="00CF75B4">
      <w:pPr>
        <w:rPr>
          <w:rFonts w:eastAsia="Arial"/>
        </w:rPr>
      </w:pPr>
    </w:p>
    <w:p w14:paraId="4C221EE9" w14:textId="77777777" w:rsidR="00CF75B4" w:rsidRDefault="00CF75B4" w:rsidP="00CF75B4">
      <w:pPr>
        <w:rPr>
          <w:rFonts w:eastAsia="Arial"/>
        </w:rPr>
      </w:pPr>
      <w:r>
        <w:rPr>
          <w:rFonts w:eastAsia="Arial"/>
        </w:rPr>
        <w:t>Svenska Bankföreningen</w:t>
      </w:r>
      <w:r w:rsidRPr="005E25FF">
        <w:rPr>
          <w:rFonts w:eastAsia="Arial"/>
        </w:rPr>
        <w:t xml:space="preserve"> anser att de allmänna råden om god kreditgivningssed bör avgränsas så att det tydligt framgår att</w:t>
      </w:r>
      <w:r>
        <w:rPr>
          <w:rFonts w:eastAsia="Arial"/>
        </w:rPr>
        <w:t xml:space="preserve"> råden</w:t>
      </w:r>
      <w:r w:rsidRPr="005E25FF">
        <w:rPr>
          <w:rFonts w:eastAsia="Arial"/>
        </w:rPr>
        <w:t xml:space="preserve"> inte gäller för tillståndspliktiga aktörer </w:t>
      </w:r>
      <w:r>
        <w:rPr>
          <w:rFonts w:eastAsia="Arial"/>
        </w:rPr>
        <w:t xml:space="preserve">i den utsträckning </w:t>
      </w:r>
      <w:r w:rsidRPr="005E25FF">
        <w:rPr>
          <w:rFonts w:eastAsia="Arial"/>
        </w:rPr>
        <w:t xml:space="preserve">som </w:t>
      </w:r>
      <w:r>
        <w:rPr>
          <w:rFonts w:eastAsia="Arial"/>
        </w:rPr>
        <w:t xml:space="preserve">aktören </w:t>
      </w:r>
      <w:r w:rsidRPr="005E25FF">
        <w:rPr>
          <w:rFonts w:eastAsia="Arial"/>
        </w:rPr>
        <w:t>står under Finansinspektionens tillsyn</w:t>
      </w:r>
      <w:r>
        <w:rPr>
          <w:rFonts w:eastAsia="Arial"/>
        </w:rPr>
        <w:t xml:space="preserve">, vilket även följer av nya 9 kap. 1 § konsumentkreditlagen. </w:t>
      </w:r>
    </w:p>
    <w:p w14:paraId="5408A457" w14:textId="77777777" w:rsidR="00CF75B4" w:rsidRDefault="00CF75B4" w:rsidP="00CF75B4">
      <w:pPr>
        <w:rPr>
          <w:rFonts w:eastAsia="Arial"/>
        </w:rPr>
      </w:pPr>
    </w:p>
    <w:p w14:paraId="6A957352" w14:textId="77777777" w:rsidR="00CF75B4" w:rsidRPr="005E25FF" w:rsidRDefault="00CF75B4" w:rsidP="00CF75B4">
      <w:pPr>
        <w:rPr>
          <w:rFonts w:eastAsia="Arial"/>
        </w:rPr>
      </w:pPr>
      <w:r>
        <w:rPr>
          <w:rFonts w:eastAsia="Arial"/>
        </w:rPr>
        <w:t>Det bör även anges vilka av råden som påverkas av denna avgränsning, och på vilket sätt. Avgränsningen träffar råd 1.1, då det rör beviljande av krediter/kreditprövning vilket faller under Finansinspektionens ansvarsområde för företag som står under denna myndighets tillsyn. Inte heller råd 1.4 bör gälla för företag med tillstånd från Finansinspektionen då rådet handlar om hur ett kreditavtal bör utformas</w:t>
      </w:r>
      <w:r w:rsidRPr="0045510A">
        <w:rPr>
          <w:rFonts w:eastAsia="Arial"/>
        </w:rPr>
        <w:t>. Det är dock oklart hur avgränsningen påverkar råd</w:t>
      </w:r>
      <w:r>
        <w:rPr>
          <w:rFonts w:eastAsia="Arial"/>
        </w:rPr>
        <w:t xml:space="preserve"> </w:t>
      </w:r>
      <w:r w:rsidRPr="0045510A">
        <w:rPr>
          <w:rFonts w:eastAsia="Arial"/>
        </w:rPr>
        <w:t>1.5</w:t>
      </w:r>
      <w:r>
        <w:rPr>
          <w:rFonts w:eastAsia="Arial"/>
        </w:rPr>
        <w:t xml:space="preserve"> då det rör information efter att avtal har ingåtts, vilket skulle kunna falla helt under Konsumentverkets tillsyn. Detta tycks dock inte vara fallet då råd 1.5 inte kopplas till något informationskrav i den nya konsumentkreditlagen, där marknadsföringslagen gäller, utan till bestämmelsen om god kreditgivningssed</w:t>
      </w:r>
      <w:r w:rsidRPr="0045510A">
        <w:rPr>
          <w:rFonts w:eastAsia="Arial"/>
        </w:rPr>
        <w:t>. Vad</w:t>
      </w:r>
      <w:r>
        <w:rPr>
          <w:rFonts w:eastAsia="Arial"/>
        </w:rPr>
        <w:t xml:space="preserve"> gäller råd 1.6 följer det av </w:t>
      </w:r>
      <w:r w:rsidRPr="003C394A">
        <w:rPr>
          <w:rFonts w:eastAsia="Arial"/>
        </w:rPr>
        <w:t xml:space="preserve">1 kap. 2 a § andra stycket </w:t>
      </w:r>
      <w:r>
        <w:rPr>
          <w:rFonts w:eastAsia="Arial"/>
        </w:rPr>
        <w:t xml:space="preserve">i nya </w:t>
      </w:r>
      <w:r w:rsidRPr="003C394A">
        <w:rPr>
          <w:rFonts w:eastAsia="Arial"/>
        </w:rPr>
        <w:t>lagen om verksamhet med bostadskrediter och vissa andra konsumentkrediter (tidigare lagen om verksamhet med bostadskrediter, 2016:1024)</w:t>
      </w:r>
      <w:r>
        <w:rPr>
          <w:rFonts w:eastAsia="Arial"/>
        </w:rPr>
        <w:t xml:space="preserve"> att </w:t>
      </w:r>
      <w:r w:rsidRPr="00E91A05">
        <w:rPr>
          <w:rFonts w:eastAsia="Arial"/>
        </w:rPr>
        <w:t xml:space="preserve">mindre företag med kreditförmedling som bitjänst inte omfattas av tillståndskrav </w:t>
      </w:r>
      <w:r>
        <w:rPr>
          <w:rFonts w:eastAsia="Arial"/>
        </w:rPr>
        <w:t xml:space="preserve">hos FI </w:t>
      </w:r>
      <w:r w:rsidRPr="00E91A05">
        <w:rPr>
          <w:rFonts w:eastAsia="Arial"/>
        </w:rPr>
        <w:t xml:space="preserve">och </w:t>
      </w:r>
      <w:r>
        <w:rPr>
          <w:rFonts w:eastAsia="Arial"/>
        </w:rPr>
        <w:t xml:space="preserve">därmed faller </w:t>
      </w:r>
      <w:r w:rsidRPr="00E91A05">
        <w:rPr>
          <w:rFonts w:eastAsia="Arial"/>
        </w:rPr>
        <w:t>under K</w:t>
      </w:r>
      <w:r>
        <w:rPr>
          <w:rFonts w:eastAsia="Arial"/>
        </w:rPr>
        <w:t>onsumentverkets</w:t>
      </w:r>
      <w:r w:rsidRPr="00E91A05">
        <w:rPr>
          <w:rFonts w:eastAsia="Arial"/>
        </w:rPr>
        <w:t xml:space="preserve"> tillsyn</w:t>
      </w:r>
      <w:r>
        <w:rPr>
          <w:rFonts w:eastAsia="Arial"/>
        </w:rPr>
        <w:t>.</w:t>
      </w:r>
      <w:r w:rsidRPr="005E25FF">
        <w:rPr>
          <w:rFonts w:eastAsia="Arial"/>
        </w:rPr>
        <w:t xml:space="preserve"> E</w:t>
      </w:r>
      <w:r>
        <w:rPr>
          <w:rFonts w:eastAsia="Arial"/>
        </w:rPr>
        <w:t xml:space="preserve">tt tydliggörande av den </w:t>
      </w:r>
      <w:r w:rsidRPr="005E25FF">
        <w:rPr>
          <w:rFonts w:eastAsia="Arial"/>
        </w:rPr>
        <w:t xml:space="preserve">avgränsning </w:t>
      </w:r>
      <w:r>
        <w:rPr>
          <w:rFonts w:eastAsia="Arial"/>
        </w:rPr>
        <w:t xml:space="preserve">som följer av lagen </w:t>
      </w:r>
      <w:r w:rsidRPr="005E25FF">
        <w:rPr>
          <w:rFonts w:eastAsia="Arial"/>
        </w:rPr>
        <w:t xml:space="preserve">är </w:t>
      </w:r>
      <w:r>
        <w:rPr>
          <w:rFonts w:eastAsia="Arial"/>
        </w:rPr>
        <w:t>därför</w:t>
      </w:r>
      <w:r w:rsidRPr="005E25FF">
        <w:rPr>
          <w:rFonts w:eastAsia="Arial"/>
        </w:rPr>
        <w:t xml:space="preserve"> nödvändig för att undvika normkonflikter och oklarheter om vilken tillsynsmyndighets rekommendationer som ska tillämpas. </w:t>
      </w:r>
      <w:r>
        <w:rPr>
          <w:rFonts w:eastAsia="Arial"/>
        </w:rPr>
        <w:t>Avgränsningen behövs inte för</w:t>
      </w:r>
      <w:r w:rsidRPr="005E25FF">
        <w:rPr>
          <w:rFonts w:eastAsia="Arial"/>
        </w:rPr>
        <w:t xml:space="preserve"> delar av råden som </w:t>
      </w:r>
      <w:r>
        <w:rPr>
          <w:rFonts w:eastAsia="Arial"/>
        </w:rPr>
        <w:t xml:space="preserve">uttryckligen </w:t>
      </w:r>
      <w:r w:rsidRPr="005E25FF">
        <w:rPr>
          <w:rFonts w:eastAsia="Arial"/>
        </w:rPr>
        <w:t xml:space="preserve">rör marknadsföring </w:t>
      </w:r>
      <w:r>
        <w:rPr>
          <w:rFonts w:eastAsia="Arial"/>
        </w:rPr>
        <w:t>då det framkommer tydligt av 9 kap 3–6 §§ nya konsumentkreditlagen att detta omfattas av</w:t>
      </w:r>
      <w:r w:rsidRPr="005E25FF">
        <w:rPr>
          <w:rFonts w:eastAsia="Arial"/>
        </w:rPr>
        <w:t xml:space="preserve"> Konsumentverkets tillsynsansvar</w:t>
      </w:r>
      <w:r>
        <w:rPr>
          <w:rFonts w:eastAsia="Arial"/>
        </w:rPr>
        <w:t>.</w:t>
      </w:r>
    </w:p>
    <w:p w14:paraId="02760934" w14:textId="77777777" w:rsidR="00CF75B4" w:rsidRDefault="00CF75B4" w:rsidP="00CF75B4">
      <w:pPr>
        <w:rPr>
          <w:rFonts w:eastAsia="Arial"/>
        </w:rPr>
      </w:pPr>
    </w:p>
    <w:p w14:paraId="45FA65AD" w14:textId="77777777" w:rsidR="00CF75B4" w:rsidRPr="00B13267" w:rsidRDefault="00CF75B4" w:rsidP="00CF75B4">
      <w:pPr>
        <w:rPr>
          <w:rFonts w:eastAsia="Arial"/>
          <w:i/>
          <w:iCs/>
        </w:rPr>
      </w:pPr>
      <w:r w:rsidRPr="00B13267">
        <w:rPr>
          <w:rFonts w:eastAsia="Arial"/>
          <w:i/>
          <w:iCs/>
        </w:rPr>
        <w:t>Råd 1.1 – Kredit för spel om pengar: tillämpning och gränsdragning</w:t>
      </w:r>
    </w:p>
    <w:p w14:paraId="321B8278" w14:textId="77777777" w:rsidR="00CF75B4" w:rsidRDefault="00CF75B4" w:rsidP="00CF75B4">
      <w:pPr>
        <w:rPr>
          <w:rFonts w:eastAsia="Arial"/>
        </w:rPr>
      </w:pPr>
      <w:r>
        <w:rPr>
          <w:rFonts w:eastAsia="Arial"/>
        </w:rPr>
        <w:t>Svenska Bankföreningen</w:t>
      </w:r>
      <w:r w:rsidRPr="005E25FF">
        <w:rPr>
          <w:rFonts w:eastAsia="Arial"/>
        </w:rPr>
        <w:t xml:space="preserve"> </w:t>
      </w:r>
      <w:r>
        <w:rPr>
          <w:rFonts w:eastAsia="Arial"/>
        </w:rPr>
        <w:t xml:space="preserve">har förståelse för det bakomliggande syftet </w:t>
      </w:r>
      <w:r w:rsidRPr="005E25FF">
        <w:rPr>
          <w:rFonts w:eastAsia="Arial"/>
        </w:rPr>
        <w:t>med råd</w:t>
      </w:r>
      <w:r>
        <w:rPr>
          <w:rFonts w:eastAsia="Arial"/>
        </w:rPr>
        <w:t>et</w:t>
      </w:r>
      <w:r w:rsidRPr="005E25FF">
        <w:rPr>
          <w:rFonts w:eastAsia="Arial"/>
        </w:rPr>
        <w:t xml:space="preserve">. Det råder dock oklarheter </w:t>
      </w:r>
      <w:r>
        <w:rPr>
          <w:rFonts w:eastAsia="Arial"/>
        </w:rPr>
        <w:t>om</w:t>
      </w:r>
      <w:r w:rsidRPr="005E25FF">
        <w:rPr>
          <w:rFonts w:eastAsia="Arial"/>
        </w:rPr>
        <w:t xml:space="preserve"> vad rådet i praktiken </w:t>
      </w:r>
      <w:r>
        <w:rPr>
          <w:rFonts w:eastAsia="Arial"/>
        </w:rPr>
        <w:t xml:space="preserve">kräver </w:t>
      </w:r>
      <w:r w:rsidRPr="005E25FF">
        <w:rPr>
          <w:rFonts w:eastAsia="Arial"/>
        </w:rPr>
        <w:t>av kreditgivare som även erbjuder betalkonton.</w:t>
      </w:r>
      <w:r>
        <w:rPr>
          <w:rFonts w:eastAsia="Arial"/>
        </w:rPr>
        <w:t xml:space="preserve"> </w:t>
      </w:r>
    </w:p>
    <w:p w14:paraId="6468FDF9" w14:textId="77777777" w:rsidR="00CF75B4" w:rsidRDefault="00CF75B4" w:rsidP="00CF75B4">
      <w:pPr>
        <w:rPr>
          <w:rFonts w:eastAsia="Arial"/>
        </w:rPr>
      </w:pPr>
    </w:p>
    <w:p w14:paraId="2AE42521" w14:textId="77777777" w:rsidR="00CF75B4" w:rsidRDefault="00CF75B4" w:rsidP="00CF75B4">
      <w:pPr>
        <w:rPr>
          <w:rFonts w:eastAsia="Arial"/>
        </w:rPr>
      </w:pPr>
      <w:r>
        <w:rPr>
          <w:rFonts w:eastAsia="Arial"/>
        </w:rPr>
        <w:t>Det saknas en definition av vad som utgör ”omfattande spelande” i r</w:t>
      </w:r>
      <w:r w:rsidRPr="00EC2680">
        <w:rPr>
          <w:rFonts w:eastAsia="Arial"/>
        </w:rPr>
        <w:t>ådets kommentars bemärkelse</w:t>
      </w:r>
      <w:r>
        <w:rPr>
          <w:rFonts w:eastAsia="Arial"/>
        </w:rPr>
        <w:t xml:space="preserve">. Regelbundet spelande är mycket vanligt bland konsumenter och behöver inte utgöra ett ekonomiskt problem. Många konsumenter spelar även återkommande till enstaka större belopp på olika sätt utan att det medför att konsumentens ekonomi påverkas på så sätt att konsumenten inte kan återbetala sina krediter i rätt tid. Utan en tydlig avgränsning riskerar rådet att inte uppnå sitt syfte eller leda till finansiell exkludering. Om det är spelberoende som avses bör detta anges, likaså vilka omständigheter som ska anses medföra att en kreditgivare ska ha anledning att misstänka detta. </w:t>
      </w:r>
    </w:p>
    <w:p w14:paraId="0D713D81" w14:textId="77777777" w:rsidR="00CF75B4" w:rsidRDefault="00CF75B4" w:rsidP="00CF75B4">
      <w:pPr>
        <w:rPr>
          <w:rFonts w:eastAsia="Arial"/>
        </w:rPr>
      </w:pPr>
    </w:p>
    <w:p w14:paraId="4C514186" w14:textId="77777777" w:rsidR="00CF75B4" w:rsidRDefault="00CF75B4" w:rsidP="00CF75B4">
      <w:pPr>
        <w:rPr>
          <w:rFonts w:eastAsia="Arial"/>
        </w:rPr>
      </w:pPr>
      <w:r>
        <w:rPr>
          <w:rFonts w:eastAsia="Arial"/>
        </w:rPr>
        <w:t xml:space="preserve">I kommentaren till rådet framkommer att näringsidkaren vid misstanke kan kontakta konsumenten och fråga om denne avser att använda krediten för spel om pengar. Detta i sig är dock inte en förutsättning enligt rådet, utan kreditgivaren ska neka krediten redan vid en misstanke om spelproblem. Frågan är då vilket syfte en sådan fråga har, och vilken vikt som bör läggas vid ett nekande svar. Vidare antyder ordet ”säkerställa” i kommentaren att det efter en sådan fråga bör inhämtas ytterligare information från konsumenten som stärker det uppgivna syftet med krediten, för att den ska kunna beviljas. Konsumentverket behöver därför förtydliga vilken information som bör inhämtas för att konsumentens uppgivna syfte om annat än spel ska anses ha säkerställts.  </w:t>
      </w:r>
    </w:p>
    <w:p w14:paraId="644B8C57" w14:textId="77777777" w:rsidR="00CF75B4" w:rsidRDefault="00CF75B4" w:rsidP="00CF75B4">
      <w:pPr>
        <w:rPr>
          <w:rFonts w:eastAsia="Arial"/>
        </w:rPr>
      </w:pPr>
    </w:p>
    <w:p w14:paraId="4153DD91" w14:textId="77777777" w:rsidR="00CF75B4" w:rsidRDefault="00CF75B4" w:rsidP="00CF75B4">
      <w:pPr>
        <w:rPr>
          <w:rFonts w:eastAsia="Arial"/>
        </w:rPr>
      </w:pPr>
      <w:r>
        <w:rPr>
          <w:rFonts w:eastAsia="Arial"/>
        </w:rPr>
        <w:t xml:space="preserve">Svenska Bankföreningen utgår från att ”bör inte lämnas” ska tolkas som att en kreditansökan bör avslås vid misstanke om eller känd uppgift om att krediten ska användas för spelande. Detta framkommer dock inte tydligt i rådet eller kommentaren. Rådet skulle även kunna tolkas som att konsumenten ska avrådas från att teckna krediten. Konsumentverket bör därför förtydliga hur kreditgivaren förväntas agera. </w:t>
      </w:r>
    </w:p>
    <w:p w14:paraId="4967D619" w14:textId="77777777" w:rsidR="00CF75B4" w:rsidRDefault="00CF75B4" w:rsidP="00CF75B4">
      <w:pPr>
        <w:rPr>
          <w:rFonts w:eastAsia="Arial"/>
        </w:rPr>
      </w:pPr>
    </w:p>
    <w:p w14:paraId="2F8D4F6E" w14:textId="77777777" w:rsidR="00CF75B4" w:rsidRPr="005E25FF" w:rsidRDefault="00CF75B4" w:rsidP="00CF75B4">
      <w:pPr>
        <w:rPr>
          <w:rFonts w:eastAsia="Arial"/>
        </w:rPr>
      </w:pPr>
      <w:r>
        <w:rPr>
          <w:rFonts w:eastAsia="Arial"/>
        </w:rPr>
        <w:t>För kreditgivare som omfattas av Europeiska Bankmyndighetens riktlinjer gäller att man bör fråga konsumenten om syftet med krediten i samband med kreditansökan.</w:t>
      </w:r>
      <w:r>
        <w:rPr>
          <w:rStyle w:val="Fotnotsreferens"/>
          <w:rFonts w:eastAsia="Arial"/>
        </w:rPr>
        <w:footnoteReference w:id="2"/>
      </w:r>
      <w:r>
        <w:rPr>
          <w:rFonts w:eastAsia="Arial"/>
        </w:rPr>
        <w:t xml:space="preserve"> I det fall konsumenten då uppger att syftet är att spela för pengarna bör det redan idag följa av god kreditgivningssed att inte bevilja krediten. </w:t>
      </w:r>
    </w:p>
    <w:p w14:paraId="5B2CFA56" w14:textId="77777777" w:rsidR="00CF75B4" w:rsidRDefault="00CF75B4" w:rsidP="00CF75B4">
      <w:pPr>
        <w:rPr>
          <w:rFonts w:eastAsia="Arial"/>
        </w:rPr>
      </w:pPr>
    </w:p>
    <w:p w14:paraId="678CAB1A" w14:textId="77777777" w:rsidR="00CF75B4" w:rsidRDefault="00CF75B4" w:rsidP="00CF75B4">
      <w:pPr>
        <w:rPr>
          <w:rFonts w:eastAsia="Arial"/>
        </w:rPr>
      </w:pPr>
      <w:r w:rsidRPr="005E25FF">
        <w:rPr>
          <w:rFonts w:eastAsia="Arial"/>
        </w:rPr>
        <w:t xml:space="preserve">Av kommentaren till rådet framgår </w:t>
      </w:r>
      <w:r>
        <w:rPr>
          <w:rFonts w:eastAsia="Arial"/>
        </w:rPr>
        <w:t xml:space="preserve">även </w:t>
      </w:r>
      <w:r w:rsidRPr="005E25FF">
        <w:rPr>
          <w:rFonts w:eastAsia="Arial"/>
        </w:rPr>
        <w:t xml:space="preserve">att </w:t>
      </w:r>
      <w:r>
        <w:rPr>
          <w:rFonts w:eastAsia="Arial"/>
        </w:rPr>
        <w:t xml:space="preserve">det förhållandet att </w:t>
      </w:r>
      <w:r w:rsidRPr="005E25FF">
        <w:rPr>
          <w:rFonts w:eastAsia="Arial"/>
        </w:rPr>
        <w:t xml:space="preserve">näringsidkaren "har anledning att misstänka" </w:t>
      </w:r>
      <w:r>
        <w:rPr>
          <w:rFonts w:eastAsia="Arial"/>
        </w:rPr>
        <w:t xml:space="preserve">spelproblematik </w:t>
      </w:r>
      <w:r w:rsidRPr="005E25FF">
        <w:rPr>
          <w:rFonts w:eastAsia="Arial"/>
        </w:rPr>
        <w:t xml:space="preserve">kan grunda sig på "kontoinformation som visar att konsumenten har ett omfattande spelande." En sådan skyldighet </w:t>
      </w:r>
      <w:r>
        <w:rPr>
          <w:rFonts w:eastAsia="Arial"/>
        </w:rPr>
        <w:t>skulle</w:t>
      </w:r>
      <w:r w:rsidRPr="005E25FF">
        <w:rPr>
          <w:rFonts w:eastAsia="Arial"/>
        </w:rPr>
        <w:t xml:space="preserve"> </w:t>
      </w:r>
      <w:r>
        <w:rPr>
          <w:rFonts w:eastAsia="Arial"/>
        </w:rPr>
        <w:t xml:space="preserve">dock enligt Svenska Bankföreningens uppfattning vara både </w:t>
      </w:r>
      <w:r w:rsidRPr="005E25FF">
        <w:rPr>
          <w:rFonts w:eastAsia="Arial"/>
        </w:rPr>
        <w:t>betungande och oproportionerlig.</w:t>
      </w:r>
    </w:p>
    <w:p w14:paraId="1A8CF9EF" w14:textId="77777777" w:rsidR="00CF75B4" w:rsidRDefault="00CF75B4" w:rsidP="00CF75B4">
      <w:pPr>
        <w:rPr>
          <w:rFonts w:eastAsia="Arial"/>
        </w:rPr>
      </w:pPr>
    </w:p>
    <w:p w14:paraId="2D5D1879" w14:textId="77777777" w:rsidR="00CF75B4" w:rsidRPr="005E25FF" w:rsidRDefault="00CF75B4" w:rsidP="00CF75B4">
      <w:pPr>
        <w:rPr>
          <w:rFonts w:eastAsia="Arial"/>
        </w:rPr>
      </w:pPr>
      <w:r>
        <w:rPr>
          <w:rFonts w:eastAsia="Arial"/>
        </w:rPr>
        <w:t>Om</w:t>
      </w:r>
      <w:r w:rsidRPr="005E25FF">
        <w:rPr>
          <w:rFonts w:eastAsia="Arial"/>
        </w:rPr>
        <w:t xml:space="preserve"> råde</w:t>
      </w:r>
      <w:r>
        <w:rPr>
          <w:rFonts w:eastAsia="Arial"/>
        </w:rPr>
        <w:t>t</w:t>
      </w:r>
      <w:r w:rsidRPr="005E25FF">
        <w:rPr>
          <w:rFonts w:eastAsia="Arial"/>
        </w:rPr>
        <w:t xml:space="preserve"> innebär att kreditgivare aktivt </w:t>
      </w:r>
      <w:r>
        <w:rPr>
          <w:rFonts w:eastAsia="Arial"/>
        </w:rPr>
        <w:t>bör</w:t>
      </w:r>
      <w:r w:rsidRPr="005E25FF">
        <w:rPr>
          <w:rFonts w:eastAsia="Arial"/>
        </w:rPr>
        <w:t xml:space="preserve"> granska transaktionshistorik på konton </w:t>
      </w:r>
      <w:r>
        <w:rPr>
          <w:rFonts w:eastAsia="Arial"/>
        </w:rPr>
        <w:t xml:space="preserve">för att upptäcka och därefter registrera uppgift om misstanke om spelproblematik </w:t>
      </w:r>
      <w:r w:rsidRPr="005E25FF">
        <w:rPr>
          <w:rFonts w:eastAsia="Arial"/>
        </w:rPr>
        <w:t>som ett led i kreditprövningen</w:t>
      </w:r>
      <w:r>
        <w:rPr>
          <w:rFonts w:eastAsia="Arial"/>
        </w:rPr>
        <w:t xml:space="preserve"> avråder Svenska Bankföreningen från införande av ett sådant råd utan en mer ingående analys av rättsläget. Skälet för avrådan är att det är oklart om ett råd med sådan innebörd är förenligt med gällande regler om personuppgiftshantering. </w:t>
      </w:r>
      <w:r w:rsidRPr="003D1BF9">
        <w:rPr>
          <w:rFonts w:eastAsia="Arial"/>
        </w:rPr>
        <w:t>Se avsnitt ”</w:t>
      </w:r>
      <w:r w:rsidRPr="003D1BF9">
        <w:rPr>
          <w:rFonts w:eastAsia="Arial"/>
          <w:i/>
          <w:iCs/>
        </w:rPr>
        <w:t>Råd 1.3 Marknadsföring riktad till konsumenter som spelar – definition och avgränsning nedan”</w:t>
      </w:r>
    </w:p>
    <w:p w14:paraId="67809AD8" w14:textId="77777777" w:rsidR="00CF75B4" w:rsidRDefault="00CF75B4" w:rsidP="00CF75B4">
      <w:pPr>
        <w:rPr>
          <w:rFonts w:eastAsia="Arial"/>
        </w:rPr>
      </w:pPr>
    </w:p>
    <w:p w14:paraId="4BC135D9" w14:textId="77777777" w:rsidR="00CF75B4" w:rsidRDefault="00CF75B4" w:rsidP="00CF75B4">
      <w:pPr>
        <w:rPr>
          <w:rFonts w:eastAsia="Arial"/>
        </w:rPr>
      </w:pPr>
      <w:r>
        <w:rPr>
          <w:rFonts w:eastAsia="Arial"/>
        </w:rPr>
        <w:t xml:space="preserve">Rådet </w:t>
      </w:r>
      <w:r w:rsidRPr="005E25FF">
        <w:rPr>
          <w:rFonts w:eastAsia="Arial"/>
        </w:rPr>
        <w:t xml:space="preserve">skulle </w:t>
      </w:r>
      <w:r>
        <w:rPr>
          <w:rFonts w:eastAsia="Arial"/>
        </w:rPr>
        <w:t>även</w:t>
      </w:r>
      <w:r w:rsidRPr="005E25FF">
        <w:rPr>
          <w:rFonts w:eastAsia="Arial"/>
        </w:rPr>
        <w:t xml:space="preserve"> missgynna aktörer som tillhandahåller både konton och krediter i förhållande till renodlade kreditgivare som saknar kontoinformation. Rådet riskerar dessutom att skapa incitament för konsumenter med spelproblem att </w:t>
      </w:r>
      <w:r>
        <w:rPr>
          <w:rFonts w:eastAsia="Arial"/>
        </w:rPr>
        <w:t>an</w:t>
      </w:r>
      <w:r w:rsidRPr="005E25FF">
        <w:rPr>
          <w:rFonts w:eastAsia="Arial"/>
        </w:rPr>
        <w:t xml:space="preserve">söka </w:t>
      </w:r>
      <w:r>
        <w:rPr>
          <w:rFonts w:eastAsia="Arial"/>
        </w:rPr>
        <w:t xml:space="preserve">om </w:t>
      </w:r>
      <w:r w:rsidRPr="005E25FF">
        <w:rPr>
          <w:rFonts w:eastAsia="Arial"/>
        </w:rPr>
        <w:lastRenderedPageBreak/>
        <w:t>kredit</w:t>
      </w:r>
      <w:r>
        <w:rPr>
          <w:rFonts w:eastAsia="Arial"/>
        </w:rPr>
        <w:t xml:space="preserve">er </w:t>
      </w:r>
      <w:r w:rsidRPr="005E25FF">
        <w:rPr>
          <w:rFonts w:eastAsia="Arial"/>
        </w:rPr>
        <w:t xml:space="preserve">hos kreditgivare </w:t>
      </w:r>
      <w:r>
        <w:rPr>
          <w:rFonts w:eastAsia="Arial"/>
        </w:rPr>
        <w:t>som</w:t>
      </w:r>
      <w:r w:rsidRPr="005E25FF">
        <w:rPr>
          <w:rFonts w:eastAsia="Arial"/>
        </w:rPr>
        <w:t xml:space="preserve"> de inte har någon befintlig kontohavarrelation</w:t>
      </w:r>
      <w:r>
        <w:rPr>
          <w:rFonts w:eastAsia="Arial"/>
        </w:rPr>
        <w:t xml:space="preserve"> med</w:t>
      </w:r>
      <w:r w:rsidRPr="005E25FF">
        <w:rPr>
          <w:rFonts w:eastAsia="Arial"/>
        </w:rPr>
        <w:t xml:space="preserve">, i syfte att undvika att nekas kredit. Det kan inte anses vara en effekt </w:t>
      </w:r>
      <w:r>
        <w:rPr>
          <w:rFonts w:eastAsia="Arial"/>
        </w:rPr>
        <w:t xml:space="preserve">som är </w:t>
      </w:r>
      <w:r w:rsidRPr="005E25FF">
        <w:rPr>
          <w:rFonts w:eastAsia="Arial"/>
        </w:rPr>
        <w:t>förenlig med rådets syfte.</w:t>
      </w:r>
      <w:r>
        <w:rPr>
          <w:rFonts w:eastAsia="Arial"/>
        </w:rPr>
        <w:t xml:space="preserve"> </w:t>
      </w:r>
    </w:p>
    <w:p w14:paraId="4E3B9674" w14:textId="77777777" w:rsidR="00CF75B4" w:rsidRDefault="00CF75B4" w:rsidP="00CF75B4">
      <w:pPr>
        <w:rPr>
          <w:rFonts w:eastAsia="Arial"/>
        </w:rPr>
      </w:pPr>
    </w:p>
    <w:p w14:paraId="5F07CB10" w14:textId="77777777" w:rsidR="00CF75B4" w:rsidRDefault="00CF75B4" w:rsidP="00CF75B4">
      <w:pPr>
        <w:rPr>
          <w:rFonts w:eastAsia="Arial"/>
        </w:rPr>
      </w:pPr>
      <w:r>
        <w:rPr>
          <w:rFonts w:eastAsia="Arial"/>
        </w:rPr>
        <w:t>Svenska Bankföreningen</w:t>
      </w:r>
      <w:r w:rsidRPr="005E25FF">
        <w:rPr>
          <w:rFonts w:eastAsia="Arial"/>
        </w:rPr>
        <w:t xml:space="preserve"> ber </w:t>
      </w:r>
      <w:r>
        <w:rPr>
          <w:rFonts w:eastAsia="Arial"/>
        </w:rPr>
        <w:t xml:space="preserve">därför </w:t>
      </w:r>
      <w:r w:rsidRPr="005E25FF">
        <w:rPr>
          <w:rFonts w:eastAsia="Arial"/>
        </w:rPr>
        <w:t>Konsumentverket förtydliga att råd 1.1 inte innebär en generell skyldighet att granska transaktionshistorik på betalningskonton inför varje kreditbeslut</w:t>
      </w:r>
      <w:r>
        <w:rPr>
          <w:rFonts w:eastAsia="Arial"/>
        </w:rPr>
        <w:t>. Därtill uppmuntras till förtydligande i råd 1.1</w:t>
      </w:r>
      <w:r w:rsidRPr="005E25FF">
        <w:rPr>
          <w:rFonts w:eastAsia="Arial"/>
        </w:rPr>
        <w:t xml:space="preserve"> att kreditgivaren är skyldig att beakta information om spelproblematik enbart när denna information framkommit i ett relevant sammanhang, exempelvis i en kreditansökan eller vid direkt kundkontakt.</w:t>
      </w:r>
      <w:r w:rsidRPr="0037074C">
        <w:rPr>
          <w:rFonts w:eastAsia="Arial"/>
        </w:rPr>
        <w:t xml:space="preserve"> </w:t>
      </w:r>
    </w:p>
    <w:p w14:paraId="072F3106" w14:textId="77777777" w:rsidR="00CF75B4" w:rsidRPr="005E25FF" w:rsidRDefault="00CF75B4" w:rsidP="00CF75B4">
      <w:pPr>
        <w:rPr>
          <w:rFonts w:eastAsia="Arial"/>
        </w:rPr>
      </w:pPr>
    </w:p>
    <w:p w14:paraId="387863BC" w14:textId="77777777" w:rsidR="00CF75B4" w:rsidRPr="00E855C4" w:rsidRDefault="00CF75B4" w:rsidP="00CF75B4">
      <w:pPr>
        <w:rPr>
          <w:rFonts w:eastAsia="Arial"/>
          <w:i/>
          <w:iCs/>
        </w:rPr>
      </w:pPr>
      <w:r w:rsidRPr="00E855C4">
        <w:rPr>
          <w:rFonts w:eastAsia="Arial"/>
          <w:i/>
          <w:iCs/>
        </w:rPr>
        <w:t>Råd</w:t>
      </w:r>
      <w:r>
        <w:rPr>
          <w:rFonts w:eastAsia="Arial"/>
          <w:i/>
          <w:iCs/>
        </w:rPr>
        <w:t>en</w:t>
      </w:r>
      <w:r w:rsidRPr="00E855C4">
        <w:rPr>
          <w:rFonts w:eastAsia="Arial"/>
          <w:i/>
          <w:iCs/>
        </w:rPr>
        <w:t xml:space="preserve"> 1.2–1.3</w:t>
      </w:r>
      <w:r>
        <w:rPr>
          <w:rFonts w:eastAsia="Arial"/>
          <w:i/>
          <w:iCs/>
        </w:rPr>
        <w:t xml:space="preserve"> Om god kreditgivningssed</w:t>
      </w:r>
      <w:r w:rsidRPr="00E855C4">
        <w:rPr>
          <w:rFonts w:eastAsia="Arial"/>
          <w:i/>
          <w:iCs/>
        </w:rPr>
        <w:t xml:space="preserve"> – Riktad marknadsföring: tolkning och dataskyddsrättslig gränsdragning</w:t>
      </w:r>
    </w:p>
    <w:p w14:paraId="7D96F1BE" w14:textId="77777777" w:rsidR="00CF75B4" w:rsidRPr="005E25FF" w:rsidRDefault="00CF75B4" w:rsidP="00CF75B4">
      <w:pPr>
        <w:rPr>
          <w:rFonts w:eastAsia="Arial"/>
        </w:rPr>
      </w:pPr>
      <w:r>
        <w:rPr>
          <w:rFonts w:eastAsia="Arial"/>
        </w:rPr>
        <w:t>Svenska Bankföreningen</w:t>
      </w:r>
      <w:r w:rsidRPr="005E25FF">
        <w:rPr>
          <w:rFonts w:eastAsia="Arial"/>
        </w:rPr>
        <w:t xml:space="preserve"> noterar att råden 1.2 och 1.3 använder begreppet att marknadsföring "riktas" mot konsumenter i specifika situationer. Det är oklart var gränsen går för när marknadsföring ska anses riktad.</w:t>
      </w:r>
    </w:p>
    <w:p w14:paraId="22C50D0C" w14:textId="77777777" w:rsidR="00CF75B4" w:rsidRPr="005E25FF" w:rsidRDefault="00CF75B4" w:rsidP="00CF75B4">
      <w:pPr>
        <w:rPr>
          <w:rFonts w:eastAsia="Arial"/>
        </w:rPr>
      </w:pPr>
    </w:p>
    <w:p w14:paraId="7C92451F" w14:textId="77777777" w:rsidR="00CF75B4" w:rsidRDefault="00CF75B4" w:rsidP="00CF75B4">
      <w:pPr>
        <w:rPr>
          <w:rFonts w:eastAsia="Arial"/>
        </w:rPr>
      </w:pPr>
      <w:r>
        <w:rPr>
          <w:rFonts w:eastAsia="Arial"/>
        </w:rPr>
        <w:t>Svenska Bankföreningen</w:t>
      </w:r>
      <w:r w:rsidRPr="005E25FF">
        <w:rPr>
          <w:rFonts w:eastAsia="Arial"/>
        </w:rPr>
        <w:t xml:space="preserve"> ber om att Konsumentverket klargör innebörden av "riktas" med avseende på åtminstone följande situationer:</w:t>
      </w:r>
    </w:p>
    <w:p w14:paraId="1272A635" w14:textId="77777777" w:rsidR="00CF75B4" w:rsidRPr="005E25FF" w:rsidRDefault="00CF75B4" w:rsidP="00CF75B4">
      <w:pPr>
        <w:rPr>
          <w:rFonts w:eastAsia="Arial"/>
        </w:rPr>
      </w:pPr>
    </w:p>
    <w:p w14:paraId="535F011D" w14:textId="77777777" w:rsidR="00CF75B4" w:rsidRDefault="00CF75B4" w:rsidP="00CF75B4">
      <w:pPr>
        <w:pStyle w:val="Liststycke"/>
        <w:numPr>
          <w:ilvl w:val="0"/>
          <w:numId w:val="30"/>
        </w:numPr>
        <w:spacing w:line="240" w:lineRule="auto"/>
        <w:rPr>
          <w:rFonts w:eastAsia="Arial"/>
        </w:rPr>
      </w:pPr>
      <w:r w:rsidRPr="00333A48">
        <w:rPr>
          <w:rFonts w:eastAsia="Arial"/>
        </w:rPr>
        <w:t>Allmän marknadsföring på en banks webbplats, i en app eller på ett externt medium, utan segmentering baserad på faktiska kunduppgifter om spelproblematik eller skuldsättning</w:t>
      </w:r>
      <w:r>
        <w:rPr>
          <w:rFonts w:eastAsia="Arial"/>
        </w:rPr>
        <w:t>.</w:t>
      </w:r>
    </w:p>
    <w:p w14:paraId="7EBAA8C5" w14:textId="77777777" w:rsidR="00CF75B4" w:rsidRDefault="00CF75B4" w:rsidP="00CF75B4">
      <w:pPr>
        <w:pStyle w:val="Liststycke"/>
        <w:rPr>
          <w:rFonts w:eastAsia="Arial"/>
        </w:rPr>
      </w:pPr>
    </w:p>
    <w:p w14:paraId="59E99BB4" w14:textId="77777777" w:rsidR="00CF75B4" w:rsidRPr="00FA5CBE" w:rsidRDefault="00CF75B4" w:rsidP="00CF75B4">
      <w:pPr>
        <w:rPr>
          <w:rFonts w:eastAsia="Arial"/>
        </w:rPr>
      </w:pPr>
      <w:r w:rsidRPr="00FA5CBE">
        <w:rPr>
          <w:rFonts w:eastAsia="Arial"/>
        </w:rPr>
        <w:t>Detta bör inte anses utgöra riktad marknadsföring i rådens mening.</w:t>
      </w:r>
    </w:p>
    <w:p w14:paraId="72073841" w14:textId="77777777" w:rsidR="00CF75B4" w:rsidRPr="00333A48" w:rsidRDefault="00CF75B4" w:rsidP="00CF75B4">
      <w:pPr>
        <w:rPr>
          <w:rFonts w:eastAsia="Arial"/>
        </w:rPr>
      </w:pPr>
    </w:p>
    <w:p w14:paraId="1A061D16" w14:textId="77777777" w:rsidR="00CF75B4" w:rsidRDefault="00CF75B4" w:rsidP="00CF75B4">
      <w:pPr>
        <w:pStyle w:val="Liststycke"/>
        <w:numPr>
          <w:ilvl w:val="0"/>
          <w:numId w:val="30"/>
        </w:numPr>
        <w:spacing w:line="240" w:lineRule="auto"/>
        <w:rPr>
          <w:rFonts w:eastAsia="Arial"/>
        </w:rPr>
      </w:pPr>
      <w:r w:rsidRPr="00333A48">
        <w:rPr>
          <w:rFonts w:eastAsia="Arial"/>
        </w:rPr>
        <w:t>Segmenterad direktmarknadsföring, exempelvis via SMS eller e-post till befintliga kunder, där segmenteringen inte skett på grundval av kännedom om spelproblematik men där enskilda kunder som träffas av utskicket kan ha sådana problem</w:t>
      </w:r>
      <w:r>
        <w:rPr>
          <w:rFonts w:eastAsia="Arial"/>
        </w:rPr>
        <w:t>.</w:t>
      </w:r>
    </w:p>
    <w:p w14:paraId="7796980D" w14:textId="77777777" w:rsidR="00CF75B4" w:rsidRDefault="00CF75B4" w:rsidP="00CF75B4">
      <w:pPr>
        <w:pStyle w:val="Liststycke"/>
        <w:rPr>
          <w:rFonts w:eastAsia="Arial"/>
        </w:rPr>
      </w:pPr>
    </w:p>
    <w:p w14:paraId="67541A5D" w14:textId="77777777" w:rsidR="00CF75B4" w:rsidRDefault="00CF75B4" w:rsidP="00CF75B4">
      <w:pPr>
        <w:rPr>
          <w:rFonts w:eastAsia="Arial"/>
        </w:rPr>
      </w:pPr>
      <w:r w:rsidRPr="00FA5CBE">
        <w:rPr>
          <w:rFonts w:eastAsia="Arial"/>
        </w:rPr>
        <w:t xml:space="preserve">Detta kräver ett klargörande om vilket ansvar </w:t>
      </w:r>
      <w:r>
        <w:rPr>
          <w:rFonts w:eastAsia="Arial"/>
        </w:rPr>
        <w:t>kreditgivaren</w:t>
      </w:r>
      <w:r w:rsidRPr="00FA5CBE">
        <w:rPr>
          <w:rFonts w:eastAsia="Arial"/>
        </w:rPr>
        <w:t xml:space="preserve"> har att kontrollera varje enskild mottagare. Svenska Bankföreningen vill påtala att </w:t>
      </w:r>
      <w:r w:rsidRPr="00F3740B">
        <w:rPr>
          <w:rFonts w:eastAsia="Arial"/>
        </w:rPr>
        <w:t>kreditgivares inhämtande av information om konsumenters eventuell spelproblematik troligen står i strid med gällande dataskyddsreglering, med mindre än att det finns uttryckligt stöd för detta i lag eller att konsumenten lämnat sitt uttryckliga medgivande till att informationen inhämtas och sparas i detta syfte.</w:t>
      </w:r>
      <w:r w:rsidRPr="00FA5CBE">
        <w:rPr>
          <w:rFonts w:eastAsia="Arial"/>
        </w:rPr>
        <w:t xml:space="preserve"> för. </w:t>
      </w:r>
      <w:r>
        <w:rPr>
          <w:rFonts w:eastAsia="Arial"/>
        </w:rPr>
        <w:t xml:space="preserve">Att det skulle vara tillåtet att hantera data i form av kontotransaktioner i syfte att registrera en misstanke om hälsoproblem i form av spelberoende utan konsumentens medgivande och utan uttryckligt stöd för detta i lag </w:t>
      </w:r>
      <w:r w:rsidRPr="00F3740B">
        <w:rPr>
          <w:rFonts w:eastAsia="Arial"/>
        </w:rPr>
        <w:t>möter sannolikt samma problematik.</w:t>
      </w:r>
      <w:r>
        <w:rPr>
          <w:rFonts w:eastAsia="Arial"/>
        </w:rPr>
        <w:t xml:space="preserve"> Det framstår även som en </w:t>
      </w:r>
      <w:r w:rsidRPr="00F3740B">
        <w:rPr>
          <w:rFonts w:eastAsia="Arial"/>
        </w:rPr>
        <w:t xml:space="preserve">oproportionerligt </w:t>
      </w:r>
      <w:r>
        <w:rPr>
          <w:rFonts w:eastAsia="Arial"/>
        </w:rPr>
        <w:t xml:space="preserve">omfattade åtgärd </w:t>
      </w:r>
      <w:r w:rsidRPr="00F3740B">
        <w:rPr>
          <w:rFonts w:eastAsia="Arial"/>
        </w:rPr>
        <w:t xml:space="preserve">att </w:t>
      </w:r>
      <w:r>
        <w:rPr>
          <w:rFonts w:eastAsia="Arial"/>
        </w:rPr>
        <w:t xml:space="preserve">banken kontinuerligt ska screena sina kunders bankengagemang i form av kontohistorik för att kunna utesluta vissa personer från att motta marknadsföring. </w:t>
      </w:r>
    </w:p>
    <w:p w14:paraId="20845481" w14:textId="77777777" w:rsidR="00CF75B4" w:rsidRDefault="00CF75B4" w:rsidP="00CF75B4">
      <w:pPr>
        <w:rPr>
          <w:rFonts w:eastAsia="Arial"/>
        </w:rPr>
      </w:pPr>
    </w:p>
    <w:p w14:paraId="0FAA8FDD" w14:textId="77777777" w:rsidR="00CF75B4" w:rsidRPr="000B41DD" w:rsidRDefault="00CF75B4" w:rsidP="00CF75B4">
      <w:pPr>
        <w:rPr>
          <w:rFonts w:eastAsia="Arial"/>
          <w:i/>
          <w:iCs/>
        </w:rPr>
      </w:pPr>
      <w:r w:rsidRPr="000B41DD">
        <w:rPr>
          <w:rFonts w:eastAsia="Arial"/>
          <w:i/>
          <w:iCs/>
        </w:rPr>
        <w:lastRenderedPageBreak/>
        <w:t>Råd 1.3 Marknadsföring riktad till konsumenter som spelar – definition och avgränsning</w:t>
      </w:r>
    </w:p>
    <w:p w14:paraId="1D5DD134" w14:textId="77777777" w:rsidR="00CF75B4" w:rsidRDefault="00CF75B4" w:rsidP="00CF75B4">
      <w:pPr>
        <w:rPr>
          <w:rFonts w:eastAsia="Arial"/>
        </w:rPr>
      </w:pPr>
      <w:r>
        <w:rPr>
          <w:rFonts w:eastAsia="Arial"/>
        </w:rPr>
        <w:t xml:space="preserve">Av rådets rubrik antyds att det som avråds från är, som det framkommer av kommentaren, att använda konsumenters spel om pengar som ett urvalskriterium för att bestämma målgruppen för marknadsföring av krediter. Vidare kommenteras att rådet medför att marknadsföring av krediter inte bör förekomma i sammanhang där spel är vanligt förekommande. Svenska Bankföreningen utgår därför från att detta är avsikten med rådet. Det är dock inte rådets innehåll. Rådet anger att man inte bör rikta marknadsföring av krediter till en målgrupp där genomsnittskonsumenten är en konsument som spelar om pengar. </w:t>
      </w:r>
    </w:p>
    <w:p w14:paraId="332F690B" w14:textId="77777777" w:rsidR="00CF75B4" w:rsidRDefault="00CF75B4" w:rsidP="00CF75B4">
      <w:pPr>
        <w:rPr>
          <w:rFonts w:eastAsia="Arial"/>
        </w:rPr>
      </w:pPr>
    </w:p>
    <w:p w14:paraId="3CDDAAD4" w14:textId="77777777" w:rsidR="00CF75B4" w:rsidRDefault="00CF75B4" w:rsidP="00CF75B4">
      <w:pPr>
        <w:rPr>
          <w:rFonts w:eastAsia="Arial"/>
        </w:rPr>
      </w:pPr>
      <w:r>
        <w:rPr>
          <w:rFonts w:eastAsia="Arial"/>
        </w:rPr>
        <w:t>Svenska Bankföreningen konstaterar att spel om pengar är allt från att köpa trisslotter och bingolotter eller prenumerera på lotter av olika slag till att regelbundet spela på lotto eller travet, eller spela onlinebingo, onlinepoker, betting på sportresultat eller liknande spel mot pengar till att satsa mycket stora engångsbelopp på olika typer av spel. Med tanke på hur vanligt förekommande spel om pengar är bland konsumenter i allmänhet</w:t>
      </w:r>
      <w:r w:rsidRPr="00261977">
        <w:rPr>
          <w:rFonts w:eastAsia="Arial"/>
        </w:rPr>
        <w:t xml:space="preserve"> </w:t>
      </w:r>
      <w:r>
        <w:rPr>
          <w:rFonts w:eastAsia="Arial"/>
        </w:rPr>
        <w:t xml:space="preserve">kan det antas att genomsnittskonsumenten i allmänhet, och i de flesta målgrupper, är en konsument som spelar om pengar. Det går i varje fall sällan att utesluta att genomsnittskonsumenten i en målgrupp, oavsett vilken, spelar om pengar. Det innebär att rådet, så som det är utformat, lämnar mycket lite utrymme till att marknadsföra krediter. Svenska Bankföreningen utgår från att detta inte är avsikten med rådet. </w:t>
      </w:r>
    </w:p>
    <w:p w14:paraId="1EEF6D12" w14:textId="77777777" w:rsidR="00CF75B4" w:rsidRDefault="00CF75B4" w:rsidP="00CF75B4">
      <w:pPr>
        <w:rPr>
          <w:rFonts w:eastAsia="Arial"/>
        </w:rPr>
      </w:pPr>
    </w:p>
    <w:p w14:paraId="62380E26" w14:textId="77777777" w:rsidR="00CF75B4" w:rsidRPr="00FA5CBE" w:rsidRDefault="00CF75B4" w:rsidP="00CF75B4">
      <w:pPr>
        <w:rPr>
          <w:rFonts w:eastAsia="Arial"/>
        </w:rPr>
      </w:pPr>
      <w:r>
        <w:rPr>
          <w:rFonts w:eastAsia="Arial"/>
        </w:rPr>
        <w:t xml:space="preserve">Konsumentverket behöver därför omformulera rådet så att det av rådets ordalydelse framkommer att kreditgivaren inte bör använda konsumenters spel om pengar som ett urvalskriterium för att bestämma målgruppen för marknadsföring av krediter. Om en annan eller vidare avsikt finns med rådet behöver Konsumentverket klargöra rådets innebörd genom att tydligt definiera och avgränsa rådet. </w:t>
      </w:r>
    </w:p>
    <w:p w14:paraId="269D48EE" w14:textId="77777777" w:rsidR="00CF75B4" w:rsidRPr="005E25FF" w:rsidRDefault="00CF75B4" w:rsidP="00CF75B4">
      <w:pPr>
        <w:rPr>
          <w:rFonts w:eastAsia="Arial"/>
        </w:rPr>
      </w:pPr>
    </w:p>
    <w:p w14:paraId="7B039FA2" w14:textId="77777777" w:rsidR="00CF75B4" w:rsidRPr="00997A5F" w:rsidRDefault="00CF75B4" w:rsidP="00CF75B4">
      <w:pPr>
        <w:rPr>
          <w:rFonts w:eastAsia="Arial"/>
          <w:i/>
          <w:iCs/>
        </w:rPr>
      </w:pPr>
      <w:r w:rsidRPr="00997A5F">
        <w:rPr>
          <w:rFonts w:eastAsia="Arial"/>
          <w:i/>
          <w:iCs/>
        </w:rPr>
        <w:t>Råden 1:1</w:t>
      </w:r>
      <w:r>
        <w:rPr>
          <w:rFonts w:eastAsia="Arial"/>
          <w:i/>
          <w:iCs/>
        </w:rPr>
        <w:t xml:space="preserve"> Om god kreditgivningssed – F</w:t>
      </w:r>
      <w:r w:rsidRPr="00997A5F">
        <w:rPr>
          <w:rFonts w:eastAsia="Arial"/>
          <w:i/>
          <w:iCs/>
        </w:rPr>
        <w:t>inns förenlighet med GDPR?</w:t>
      </w:r>
    </w:p>
    <w:p w14:paraId="55100D80" w14:textId="77777777" w:rsidR="00CF75B4" w:rsidRDefault="00CF75B4" w:rsidP="00CF75B4">
      <w:pPr>
        <w:rPr>
          <w:rFonts w:eastAsia="Arial"/>
        </w:rPr>
      </w:pPr>
      <w:r>
        <w:rPr>
          <w:rFonts w:eastAsia="Arial"/>
        </w:rPr>
        <w:t>Spelberoende är en klinisk diagnos.</w:t>
      </w:r>
      <w:r>
        <w:rPr>
          <w:rStyle w:val="Fotnotsreferens"/>
          <w:rFonts w:eastAsia="Arial"/>
        </w:rPr>
        <w:footnoteReference w:id="3"/>
      </w:r>
      <w:r>
        <w:rPr>
          <w:rFonts w:eastAsia="Arial"/>
        </w:rPr>
        <w:t xml:space="preserve"> Uppgiften att en kund har ett spelberoende utgör således en känslig personuppgift (uppgift om hälsa enligt artikel 9.1 GDPR). Det framgår vidare av fast praxis från EU-domstolen att ”uppgift om hälsa i artikel 9.1 GDPR ska ges en vid tolkning (se exempelvis </w:t>
      </w:r>
      <w:r w:rsidRPr="00D22547">
        <w:rPr>
          <w:rFonts w:eastAsia="Arial"/>
        </w:rPr>
        <w:t xml:space="preserve">dom av den 4 oktober 2024, </w:t>
      </w:r>
      <w:proofErr w:type="spellStart"/>
      <w:r w:rsidRPr="00E6033C">
        <w:rPr>
          <w:rFonts w:eastAsia="Arial"/>
          <w:i/>
          <w:iCs/>
        </w:rPr>
        <w:t>Lindenapotheke</w:t>
      </w:r>
      <w:proofErr w:type="spellEnd"/>
      <w:r w:rsidRPr="00D22547">
        <w:rPr>
          <w:rFonts w:eastAsia="Arial"/>
        </w:rPr>
        <w:t>, C-21/23, EU:C:2024:846, punkt 81</w:t>
      </w:r>
      <w:r>
        <w:rPr>
          <w:rFonts w:eastAsia="Arial"/>
        </w:rPr>
        <w:t>). Personuppgifter i form av data som kan utvisa spelproblematik riskerar således utgöra känsliga personuppgifter (s.k. särskilda kategorier av personuppgifter enligt GDPR) om individens psykiatriska hälsa</w:t>
      </w:r>
      <w:r w:rsidRPr="005E25FF">
        <w:rPr>
          <w:rFonts w:eastAsia="Arial"/>
        </w:rPr>
        <w:t xml:space="preserve">. </w:t>
      </w:r>
      <w:r>
        <w:rPr>
          <w:rFonts w:eastAsia="Arial"/>
        </w:rPr>
        <w:t xml:space="preserve">Känsliga personuppgifter är som huvudregel förbjudna att behandla om inget uttryckligt undantag enligt artikel 9.2 GDPR är tillämpligt. Undantagen ska tolkas </w:t>
      </w:r>
      <w:r>
        <w:rPr>
          <w:rFonts w:eastAsia="Arial"/>
        </w:rPr>
        <w:lastRenderedPageBreak/>
        <w:t xml:space="preserve">restriktivt (se </w:t>
      </w:r>
      <w:r w:rsidRPr="000F7D5A">
        <w:rPr>
          <w:rFonts w:eastAsia="Arial"/>
        </w:rPr>
        <w:t xml:space="preserve">dom av den 4 oktober 2024, </w:t>
      </w:r>
      <w:proofErr w:type="spellStart"/>
      <w:r w:rsidRPr="00842615">
        <w:rPr>
          <w:rFonts w:eastAsia="Arial"/>
          <w:i/>
          <w:iCs/>
        </w:rPr>
        <w:t>Schrems</w:t>
      </w:r>
      <w:proofErr w:type="spellEnd"/>
      <w:r w:rsidRPr="000F7D5A">
        <w:rPr>
          <w:rFonts w:eastAsia="Arial"/>
        </w:rPr>
        <w:t>, C-446/21, punkt 76</w:t>
      </w:r>
      <w:r>
        <w:rPr>
          <w:rFonts w:eastAsia="Arial"/>
        </w:rPr>
        <w:t xml:space="preserve"> med vidare hänvisningar). </w:t>
      </w:r>
    </w:p>
    <w:p w14:paraId="63E2C6E2" w14:textId="77777777" w:rsidR="00CF75B4" w:rsidRDefault="00CF75B4" w:rsidP="00CF75B4">
      <w:pPr>
        <w:rPr>
          <w:rFonts w:eastAsia="Arial"/>
        </w:rPr>
      </w:pPr>
    </w:p>
    <w:p w14:paraId="0DF4AEB6" w14:textId="77777777" w:rsidR="00CF75B4" w:rsidRDefault="00CF75B4" w:rsidP="00CF75B4">
      <w:pPr>
        <w:rPr>
          <w:rFonts w:eastAsia="Arial"/>
        </w:rPr>
      </w:pPr>
      <w:r>
        <w:rPr>
          <w:rFonts w:eastAsia="Arial"/>
        </w:rPr>
        <w:t xml:space="preserve">Undantagen i artikel 9.2 GDPR är uttömmande, det innebär att behandling av känsliga personuppgifter måste kunna hänföras till någon av de undantagen för att vara tillåten (utöver att vara förenlig även med övriga tillämpliga bestämmelser i GDPR). Innan det kan bli aktuellt att genomföra sådan behandling av känsliga personuppgifter som föreslås i de allmänna råden behöver det utredas med vilket stöd enligt artikel 9.2 som personuppgifterna kan behandlas. </w:t>
      </w:r>
      <w:bookmarkStart w:id="1" w:name="_Hlk237263895"/>
      <w:r>
        <w:rPr>
          <w:rFonts w:eastAsia="Arial"/>
        </w:rPr>
        <w:t xml:space="preserve">Det kan krävas ytterligare lagstiftning för att behandla känsliga personuppgifter om individers hälsa i kreditprövningsändamål, i annat fall riskerar behandlingen att </w:t>
      </w:r>
      <w:r w:rsidRPr="005E25FF">
        <w:rPr>
          <w:rFonts w:eastAsia="Arial"/>
        </w:rPr>
        <w:t>strida mot GDPR</w:t>
      </w:r>
      <w:r>
        <w:rPr>
          <w:rFonts w:eastAsia="Arial"/>
        </w:rPr>
        <w:t xml:space="preserve">. </w:t>
      </w:r>
      <w:bookmarkEnd w:id="1"/>
      <w:r>
        <w:rPr>
          <w:rFonts w:eastAsia="Arial"/>
        </w:rPr>
        <w:t xml:space="preserve">Svenska Bankföreningen kan inte se att konsumentkreditlagens krav på att agera i enlighet med god kreditgivningssed är tillräckligt avgränsat och specifikt för att kunna utgöra sådant stöd i lag som krävs. Att ett allmänt råd preciserar lagens innebörd bör inte heller medföra sådant lagstöd och innehåller inte heller de nödvändiga skyddsåtgärderna som krävs för att behandlingen ska vara tillåten (jfr. tex. artikel 9.2 g GDPR). Att tillämpa undantaget för (uttryckligt) samtycke enligt artikel 9.2 a GDPR är mindre lämpligt av flera anledningar och inte heller ändamålsenligt eftersom ett sådant samtycke inte lär lämnas av personer med spelproblematik alternativt kommer de senare återkalla samtycket. </w:t>
      </w:r>
      <w:r w:rsidRPr="005E25FF">
        <w:rPr>
          <w:rFonts w:eastAsia="Arial"/>
        </w:rPr>
        <w:t xml:space="preserve">Råden bör inte förutsätta att näringsidkare identifierar konsumenter med spelproblematik med hjälp av metoder som annan reglering förhindrar. </w:t>
      </w:r>
    </w:p>
    <w:p w14:paraId="7EDF3117" w14:textId="77777777" w:rsidR="00CF75B4" w:rsidRDefault="00CF75B4" w:rsidP="00CF75B4">
      <w:pPr>
        <w:rPr>
          <w:rFonts w:eastAsia="Arial"/>
        </w:rPr>
      </w:pPr>
    </w:p>
    <w:p w14:paraId="536B294E" w14:textId="77777777" w:rsidR="00CF75B4" w:rsidRDefault="00CF75B4" w:rsidP="00CF75B4">
      <w:pPr>
        <w:rPr>
          <w:rFonts w:eastAsia="Arial"/>
        </w:rPr>
      </w:pPr>
      <w:r>
        <w:rPr>
          <w:rFonts w:eastAsia="Arial"/>
        </w:rPr>
        <w:t>Svenska Bankföreningen</w:t>
      </w:r>
      <w:r w:rsidRPr="005E25FF">
        <w:rPr>
          <w:rFonts w:eastAsia="Arial"/>
        </w:rPr>
        <w:t xml:space="preserve"> ber </w:t>
      </w:r>
      <w:r>
        <w:rPr>
          <w:rFonts w:eastAsia="Arial"/>
        </w:rPr>
        <w:t xml:space="preserve">därför </w:t>
      </w:r>
      <w:r w:rsidRPr="005E25FF">
        <w:rPr>
          <w:rFonts w:eastAsia="Arial"/>
        </w:rPr>
        <w:t>Konsumentverket att förtydliga vilka identifieringskriterier som är tillämpliga och tillåtna, och att säkerställa att råden är förenliga med gällande dataskyddsreglering.</w:t>
      </w:r>
      <w:r>
        <w:rPr>
          <w:rFonts w:eastAsia="Arial"/>
        </w:rPr>
        <w:t xml:space="preserve"> </w:t>
      </w:r>
    </w:p>
    <w:p w14:paraId="511C692E" w14:textId="77777777" w:rsidR="00CF75B4" w:rsidRDefault="00CF75B4" w:rsidP="00CF75B4">
      <w:pPr>
        <w:rPr>
          <w:rFonts w:eastAsia="Arial"/>
        </w:rPr>
      </w:pPr>
    </w:p>
    <w:p w14:paraId="49FBED5E" w14:textId="77777777" w:rsidR="00CF75B4" w:rsidRPr="005E25FF" w:rsidRDefault="00CF75B4" w:rsidP="00CF75B4">
      <w:pPr>
        <w:rPr>
          <w:rFonts w:eastAsia="Arial"/>
        </w:rPr>
      </w:pPr>
      <w:r>
        <w:rPr>
          <w:rFonts w:eastAsia="Arial"/>
        </w:rPr>
        <w:t xml:space="preserve">Då detta inte berörs i kommentaren eller konsekvensanalysen finns det i nuläget en betydande osäkerhet om råden kommer vara möjliga att efterleva för näringsidkarna. Svenska Bankföreningen avråder från att råden införs innan det gjorts en analys av hur känsliga personuppgifter om spelberoende kan hanteras av kreditgivare i syfte att efterleva råden. Om råden sedan genomförs behöver kreditgivarna även få tillräcklig tid för att inrätta sin verksamhet efter de nya råden. </w:t>
      </w:r>
    </w:p>
    <w:p w14:paraId="58D47F42" w14:textId="77777777" w:rsidR="00CF75B4" w:rsidRPr="005E25FF" w:rsidRDefault="00CF75B4" w:rsidP="00CF75B4">
      <w:pPr>
        <w:rPr>
          <w:rFonts w:eastAsia="Arial"/>
        </w:rPr>
      </w:pPr>
    </w:p>
    <w:p w14:paraId="6B22DFEA" w14:textId="77777777" w:rsidR="00CF75B4" w:rsidRPr="00AD4633" w:rsidRDefault="00CF75B4" w:rsidP="00CF75B4">
      <w:pPr>
        <w:rPr>
          <w:rFonts w:eastAsia="Arial"/>
          <w:i/>
          <w:iCs/>
        </w:rPr>
      </w:pPr>
      <w:r w:rsidRPr="00AD4633">
        <w:rPr>
          <w:rFonts w:eastAsia="Arial"/>
          <w:i/>
          <w:iCs/>
        </w:rPr>
        <w:t xml:space="preserve">Råd 2.1 </w:t>
      </w:r>
      <w:r>
        <w:rPr>
          <w:rFonts w:eastAsia="Arial"/>
          <w:i/>
          <w:iCs/>
        </w:rPr>
        <w:t>Framhävande av vissa aspekter i marknadsföringen – F</w:t>
      </w:r>
      <w:r w:rsidRPr="00AD4633">
        <w:rPr>
          <w:rFonts w:eastAsia="Arial"/>
          <w:i/>
          <w:iCs/>
        </w:rPr>
        <w:t>rånräntesatser</w:t>
      </w:r>
      <w:r>
        <w:rPr>
          <w:rFonts w:eastAsia="Arial"/>
          <w:i/>
          <w:iCs/>
        </w:rPr>
        <w:t xml:space="preserve"> -</w:t>
      </w:r>
      <w:r w:rsidRPr="00AD4633">
        <w:rPr>
          <w:rFonts w:eastAsia="Arial"/>
          <w:i/>
          <w:iCs/>
        </w:rPr>
        <w:t xml:space="preserve"> räntespann</w:t>
      </w:r>
    </w:p>
    <w:p w14:paraId="33F50527" w14:textId="77777777" w:rsidR="00CF75B4" w:rsidRPr="005E25FF" w:rsidRDefault="00CF75B4" w:rsidP="00CF75B4">
      <w:pPr>
        <w:rPr>
          <w:rFonts w:eastAsia="Arial"/>
        </w:rPr>
      </w:pPr>
      <w:r w:rsidRPr="005E25FF">
        <w:rPr>
          <w:rFonts w:eastAsia="Arial"/>
        </w:rPr>
        <w:t xml:space="preserve">Rådet anger att frånräntesatser inte bör framhävas i marknadsföringen. </w:t>
      </w:r>
      <w:r>
        <w:rPr>
          <w:rFonts w:eastAsia="Arial"/>
        </w:rPr>
        <w:t>Svenska Bankföreningen</w:t>
      </w:r>
      <w:r w:rsidRPr="005E25FF">
        <w:rPr>
          <w:rFonts w:eastAsia="Arial"/>
        </w:rPr>
        <w:t xml:space="preserve"> ber om ett klargörande av om ett fullständigt räntespann – exempelvis "Ränta från X till Y procent" – är godtagbart enligt rådet. En sådan angivelse ger konsumenten en mer fullständig bild av produktens prisintervall och är vanlig i marknadsföringen av konsumentkrediter. Om ett fullständigt räntespann ska likställas med en frånräntesats i rådets mening, innebär det en stark begränsning av </w:t>
      </w:r>
      <w:r w:rsidRPr="005E25FF">
        <w:rPr>
          <w:rFonts w:eastAsia="Arial"/>
        </w:rPr>
        <w:lastRenderedPageBreak/>
        <w:t>möjligheterna till rättvisande räntekommunikation</w:t>
      </w:r>
      <w:r>
        <w:rPr>
          <w:rFonts w:eastAsia="Arial"/>
        </w:rPr>
        <w:t xml:space="preserve">. </w:t>
      </w:r>
      <w:r w:rsidRPr="005E25FF">
        <w:rPr>
          <w:rFonts w:eastAsia="Arial"/>
        </w:rPr>
        <w:t xml:space="preserve"> Konsumentverket bör i sådant fall utveckla vilken information om räntor som är lämplig att ange i marknadsföringen.</w:t>
      </w:r>
    </w:p>
    <w:p w14:paraId="1E33E4FE" w14:textId="77777777" w:rsidR="00CF75B4" w:rsidRPr="005E25FF" w:rsidRDefault="00CF75B4" w:rsidP="00CF75B4">
      <w:pPr>
        <w:rPr>
          <w:rFonts w:eastAsia="Arial"/>
        </w:rPr>
      </w:pPr>
    </w:p>
    <w:p w14:paraId="47E4ABAE" w14:textId="77777777" w:rsidR="00CF75B4" w:rsidRPr="00E929FD" w:rsidRDefault="00CF75B4" w:rsidP="00CF75B4">
      <w:pPr>
        <w:rPr>
          <w:rFonts w:eastAsia="Arial"/>
          <w:i/>
          <w:iCs/>
        </w:rPr>
      </w:pPr>
      <w:r w:rsidRPr="00E929FD">
        <w:rPr>
          <w:rFonts w:eastAsia="Arial"/>
          <w:i/>
          <w:iCs/>
        </w:rPr>
        <w:t>Råd 2.2 – Förskönande framställningar</w:t>
      </w:r>
      <w:r>
        <w:rPr>
          <w:rFonts w:eastAsia="Arial"/>
          <w:i/>
          <w:iCs/>
        </w:rPr>
        <w:t xml:space="preserve"> av krediter – F</w:t>
      </w:r>
      <w:r w:rsidRPr="00E929FD">
        <w:rPr>
          <w:rFonts w:eastAsia="Arial"/>
          <w:i/>
          <w:iCs/>
        </w:rPr>
        <w:t>örtydligande av gränsen mot tillåten marknadsföring</w:t>
      </w:r>
    </w:p>
    <w:p w14:paraId="2A9B1006" w14:textId="77777777" w:rsidR="00CF75B4" w:rsidRPr="005E25FF" w:rsidRDefault="00CF75B4" w:rsidP="00CF75B4">
      <w:pPr>
        <w:rPr>
          <w:rFonts w:eastAsia="Arial"/>
        </w:rPr>
      </w:pPr>
      <w:r>
        <w:rPr>
          <w:rFonts w:eastAsia="Arial"/>
        </w:rPr>
        <w:t>Svenska Bankföreningen</w:t>
      </w:r>
      <w:r w:rsidRPr="005E25FF">
        <w:rPr>
          <w:rFonts w:eastAsia="Arial"/>
        </w:rPr>
        <w:t xml:space="preserve"> anser att råd</w:t>
      </w:r>
      <w:r>
        <w:rPr>
          <w:rFonts w:eastAsia="Arial"/>
        </w:rPr>
        <w:t xml:space="preserve"> </w:t>
      </w:r>
      <w:r w:rsidRPr="005E25FF">
        <w:rPr>
          <w:rFonts w:eastAsia="Arial"/>
        </w:rPr>
        <w:t>2.2 i sin nuvarande utformning är alltför vi</w:t>
      </w:r>
      <w:r>
        <w:rPr>
          <w:rFonts w:eastAsia="Arial"/>
        </w:rPr>
        <w:t>tt</w:t>
      </w:r>
      <w:r w:rsidRPr="005E25FF">
        <w:rPr>
          <w:rFonts w:eastAsia="Arial"/>
        </w:rPr>
        <w:t xml:space="preserve"> och riskerar att träffa en stor del av normal kreditmarknadsföring. Begreppet "drömmar, idéer, visioner eller något med liknande innebörd" är oprecist och skapar osäkerhet om var gränsen går mot en tillåten, positiv framställning av en produkts användningsområde.</w:t>
      </w:r>
    </w:p>
    <w:p w14:paraId="19C2798B" w14:textId="77777777" w:rsidR="00CF75B4" w:rsidRPr="005E25FF" w:rsidRDefault="00CF75B4" w:rsidP="00CF75B4">
      <w:pPr>
        <w:rPr>
          <w:rFonts w:eastAsia="Arial"/>
        </w:rPr>
      </w:pPr>
    </w:p>
    <w:p w14:paraId="54BD8849" w14:textId="77777777" w:rsidR="00CF75B4" w:rsidRPr="005E25FF" w:rsidRDefault="00CF75B4" w:rsidP="00CF75B4">
      <w:pPr>
        <w:rPr>
          <w:rFonts w:eastAsia="Arial"/>
        </w:rPr>
      </w:pPr>
      <w:r>
        <w:rPr>
          <w:rFonts w:eastAsia="Arial"/>
        </w:rPr>
        <w:t>Svenska Bankföreningen</w:t>
      </w:r>
      <w:r w:rsidRPr="005E25FF">
        <w:rPr>
          <w:rFonts w:eastAsia="Arial"/>
        </w:rPr>
        <w:t xml:space="preserve"> ber </w:t>
      </w:r>
      <w:r>
        <w:rPr>
          <w:rFonts w:eastAsia="Arial"/>
        </w:rPr>
        <w:t xml:space="preserve">därför </w:t>
      </w:r>
      <w:r w:rsidRPr="005E25FF">
        <w:rPr>
          <w:rFonts w:eastAsia="Arial"/>
        </w:rPr>
        <w:t>Konsumentverket att komplettera kommentarerna till råd 2.2 med konkreta exempel på vad som är tillåtet respektive inte tillåtet, så att tillämpningen kan bli förutsebar för näringsidkarna. En tydlig gränsdragning är nödvändig för att råden ska fungera som ett effektivt verktyg för regelefterlevnad snarare än en källa till rättslig osäkerhet.</w:t>
      </w:r>
    </w:p>
    <w:p w14:paraId="6A2EF6DE" w14:textId="77777777" w:rsidR="00CF75B4" w:rsidRPr="005E25FF" w:rsidRDefault="00CF75B4" w:rsidP="00CF75B4">
      <w:pPr>
        <w:rPr>
          <w:rFonts w:eastAsia="Arial"/>
        </w:rPr>
      </w:pPr>
    </w:p>
    <w:p w14:paraId="26C18315" w14:textId="77777777" w:rsidR="00CF75B4" w:rsidRPr="0013413E" w:rsidRDefault="00CF75B4" w:rsidP="00CF75B4">
      <w:pPr>
        <w:rPr>
          <w:rFonts w:eastAsia="Arial"/>
          <w:i/>
          <w:iCs/>
        </w:rPr>
      </w:pPr>
      <w:r w:rsidRPr="0013413E">
        <w:rPr>
          <w:rFonts w:eastAsia="Arial"/>
          <w:i/>
          <w:iCs/>
        </w:rPr>
        <w:t xml:space="preserve">Råd 2.6 – </w:t>
      </w:r>
      <w:r>
        <w:rPr>
          <w:rFonts w:eastAsia="Arial"/>
          <w:i/>
          <w:iCs/>
        </w:rPr>
        <w:t>Marknadsföring som uppmuntrar till nyttjande av outnyttjat kreditutrymme – O</w:t>
      </w:r>
      <w:r w:rsidRPr="0013413E">
        <w:rPr>
          <w:rFonts w:eastAsia="Arial"/>
          <w:i/>
          <w:iCs/>
        </w:rPr>
        <w:t>utnyttjat kreditutrymme i digitala gränssnitt</w:t>
      </w:r>
    </w:p>
    <w:p w14:paraId="68CE8DB3" w14:textId="77777777" w:rsidR="00CF75B4" w:rsidRPr="005E25FF" w:rsidRDefault="00CF75B4" w:rsidP="00CF75B4">
      <w:pPr>
        <w:rPr>
          <w:rFonts w:eastAsia="Arial"/>
        </w:rPr>
      </w:pPr>
      <w:r w:rsidRPr="005E25FF">
        <w:rPr>
          <w:rFonts w:eastAsia="Arial"/>
        </w:rPr>
        <w:t>Rådet anger att en näringsidkare inte bör uppmuntra konsumenten att använda outnyttjat kreditutrymme genom att påminna konsumenten om att detta inte nyttjats till fullo. Kommentaren undantar kontoutdrag och underrättelser som lämnas i enlighet med 4 kap. 16 § KKrL, liksom annan saklig information om konsumentens kreditutrymme.</w:t>
      </w:r>
    </w:p>
    <w:p w14:paraId="571EFA65" w14:textId="77777777" w:rsidR="00CF75B4" w:rsidRPr="005E25FF" w:rsidRDefault="00CF75B4" w:rsidP="00CF75B4">
      <w:pPr>
        <w:rPr>
          <w:rFonts w:eastAsia="Arial"/>
        </w:rPr>
      </w:pPr>
    </w:p>
    <w:p w14:paraId="5A78E3E2" w14:textId="77777777" w:rsidR="00CF75B4" w:rsidRPr="005E25FF" w:rsidRDefault="00CF75B4" w:rsidP="00CF75B4">
      <w:pPr>
        <w:rPr>
          <w:rFonts w:eastAsia="Arial"/>
        </w:rPr>
      </w:pPr>
      <w:r>
        <w:rPr>
          <w:rFonts w:eastAsia="Arial"/>
        </w:rPr>
        <w:t>Svenska Bankföreningen</w:t>
      </w:r>
      <w:r w:rsidRPr="005E25FF">
        <w:rPr>
          <w:rFonts w:eastAsia="Arial"/>
        </w:rPr>
        <w:t xml:space="preserve"> anser att gränsdragningen är problematisk i digitala miljöer. Det är standard i internetbanker och appar att befintligt kreditutrymme visas som en del av kontoöversikten. Det är oklart om en sådan exponering – beroende av layout, placering och färgsättning – kan komma att bedömas som en otillåten påminnelse. </w:t>
      </w:r>
      <w:r w:rsidRPr="00574BC8">
        <w:rPr>
          <w:rFonts w:eastAsia="Arial"/>
        </w:rPr>
        <w:t xml:space="preserve">Det är även oklart om rådet </w:t>
      </w:r>
      <w:r>
        <w:rPr>
          <w:rFonts w:eastAsia="Arial"/>
        </w:rPr>
        <w:t xml:space="preserve">medger </w:t>
      </w:r>
      <w:r w:rsidRPr="00574BC8">
        <w:rPr>
          <w:rFonts w:eastAsia="Arial"/>
        </w:rPr>
        <w:t>elektroniska meddelanden, såsom notiser, som lämnar information om befintligt kreditutrymme i samband med att krediten nyttjas, exempelvis vid ett köp</w:t>
      </w:r>
      <w:r>
        <w:rPr>
          <w:rFonts w:eastAsia="Arial"/>
        </w:rPr>
        <w:t>. Svenska Bankföreningen</w:t>
      </w:r>
      <w:r w:rsidRPr="005E25FF">
        <w:rPr>
          <w:rFonts w:eastAsia="Arial"/>
        </w:rPr>
        <w:t xml:space="preserve"> ber Konsumentverket att lämna vägledning specifikt för digitala gränssnitt, inklusive exempel på hur information om kreditutrymme kan presenteras på ett sakligt sätt utan att rådet överträds.</w:t>
      </w:r>
    </w:p>
    <w:p w14:paraId="1305007F" w14:textId="77777777" w:rsidR="00CF75B4" w:rsidRPr="005E25FF" w:rsidRDefault="00CF75B4" w:rsidP="00CF75B4">
      <w:pPr>
        <w:rPr>
          <w:rFonts w:eastAsia="Arial"/>
        </w:rPr>
      </w:pPr>
    </w:p>
    <w:p w14:paraId="41F0CE32" w14:textId="77777777" w:rsidR="00CF75B4" w:rsidRPr="007E3C76" w:rsidRDefault="00CF75B4" w:rsidP="00CF75B4">
      <w:pPr>
        <w:rPr>
          <w:rFonts w:eastAsia="Arial"/>
          <w:i/>
          <w:iCs/>
        </w:rPr>
      </w:pPr>
      <w:r w:rsidRPr="007E3C76">
        <w:rPr>
          <w:rFonts w:eastAsia="Arial"/>
          <w:i/>
          <w:iCs/>
        </w:rPr>
        <w:t xml:space="preserve">Råd 4.1 </w:t>
      </w:r>
      <w:r>
        <w:rPr>
          <w:rFonts w:eastAsia="Arial"/>
          <w:i/>
          <w:iCs/>
        </w:rPr>
        <w:t xml:space="preserve">Pris </w:t>
      </w:r>
      <w:r w:rsidRPr="007E3C76">
        <w:rPr>
          <w:rFonts w:eastAsia="Arial"/>
          <w:i/>
          <w:iCs/>
        </w:rPr>
        <w:t>– Totalt återbetalningsbelopp vid revolverande krediter</w:t>
      </w:r>
      <w:r>
        <w:rPr>
          <w:rFonts w:eastAsia="Arial"/>
          <w:i/>
          <w:iCs/>
        </w:rPr>
        <w:t xml:space="preserve"> – Representativt exempel samt beräkning</w:t>
      </w:r>
    </w:p>
    <w:p w14:paraId="4E2327A2" w14:textId="77777777" w:rsidR="00CF75B4" w:rsidRPr="005E25FF" w:rsidRDefault="00CF75B4" w:rsidP="00CF75B4">
      <w:pPr>
        <w:rPr>
          <w:rFonts w:eastAsia="Arial"/>
        </w:rPr>
      </w:pPr>
      <w:r w:rsidRPr="005E25FF">
        <w:rPr>
          <w:rFonts w:eastAsia="Arial"/>
        </w:rPr>
        <w:t xml:space="preserve">Rådet anger att det totala beloppet som ska återbetalas bör anges i marknadsföringen. </w:t>
      </w:r>
      <w:r>
        <w:rPr>
          <w:rFonts w:eastAsia="Arial"/>
        </w:rPr>
        <w:t>Svenska Bankföreningen</w:t>
      </w:r>
      <w:r w:rsidRPr="005E25FF">
        <w:rPr>
          <w:rFonts w:eastAsia="Arial"/>
        </w:rPr>
        <w:t xml:space="preserve"> vill framhålla att det för revolverande krediter, såsom kreditkort och kontokrediter, inte är möjligt att i förväg ange ett exakt totalt återbetalningsbelopp, eftersom detta är beroende av konsumentens individuella nyttjandegrad och återbetalningstakt.</w:t>
      </w:r>
      <w:r>
        <w:rPr>
          <w:rFonts w:eastAsia="Arial"/>
        </w:rPr>
        <w:t xml:space="preserve"> Det är vidare vanligt att krediter </w:t>
      </w:r>
      <w:r>
        <w:rPr>
          <w:rFonts w:eastAsia="Arial"/>
        </w:rPr>
        <w:lastRenderedPageBreak/>
        <w:t xml:space="preserve">marknadsförs med ett erbjudande om att teckna viss typ av kredit med angivande av ett beloppsspann (låna mellan X och Y kr) samt med varierande återbetalningstider. I sådan marknadsföring är det inte praktiskt genomförbart att ange ett bestämt återbetalningsbelopp för alla förekommande varianter. </w:t>
      </w:r>
    </w:p>
    <w:p w14:paraId="35B45907" w14:textId="77777777" w:rsidR="00CF75B4" w:rsidRPr="005E25FF" w:rsidRDefault="00CF75B4" w:rsidP="00CF75B4">
      <w:pPr>
        <w:rPr>
          <w:rFonts w:eastAsia="Arial"/>
        </w:rPr>
      </w:pPr>
    </w:p>
    <w:p w14:paraId="62C83FF3" w14:textId="77777777" w:rsidR="00CF75B4" w:rsidRDefault="00CF75B4" w:rsidP="00CF75B4">
      <w:pPr>
        <w:rPr>
          <w:rFonts w:eastAsia="Arial"/>
        </w:rPr>
      </w:pPr>
      <w:r>
        <w:rPr>
          <w:rFonts w:eastAsia="Arial"/>
        </w:rPr>
        <w:t>Svenska Bankföreningen</w:t>
      </w:r>
      <w:r w:rsidRPr="005E25FF">
        <w:rPr>
          <w:rFonts w:eastAsia="Arial"/>
        </w:rPr>
        <w:t xml:space="preserve"> ber </w:t>
      </w:r>
      <w:r>
        <w:rPr>
          <w:rFonts w:eastAsia="Arial"/>
        </w:rPr>
        <w:t xml:space="preserve">därför </w:t>
      </w:r>
      <w:r w:rsidRPr="005E25FF">
        <w:rPr>
          <w:rFonts w:eastAsia="Arial"/>
        </w:rPr>
        <w:t>om ett klargörande om att kravet på angivande av totalt återbetalningsbelopp i sådana fall kan uppfyllas genom ett representativt exempel i enlighet med 2 kap. 4 § KKrL, och att rådet inte ställer krav på ett specifikt belopp när detta inte kan beräknas i förväg.</w:t>
      </w:r>
      <w:r>
        <w:rPr>
          <w:rFonts w:eastAsia="Arial"/>
        </w:rPr>
        <w:t xml:space="preserve"> </w:t>
      </w:r>
    </w:p>
    <w:p w14:paraId="374A4863" w14:textId="77777777" w:rsidR="00CF75B4" w:rsidRDefault="00CF75B4" w:rsidP="00CF75B4">
      <w:pPr>
        <w:rPr>
          <w:rFonts w:eastAsia="Arial"/>
        </w:rPr>
      </w:pPr>
    </w:p>
    <w:p w14:paraId="37C7C227" w14:textId="77777777" w:rsidR="00CF75B4" w:rsidRDefault="00CF75B4" w:rsidP="00CF75B4">
      <w:pPr>
        <w:rPr>
          <w:rFonts w:eastAsia="Arial"/>
        </w:rPr>
      </w:pPr>
      <w:r>
        <w:rPr>
          <w:rFonts w:eastAsia="Arial"/>
        </w:rPr>
        <w:t xml:space="preserve">Räntor kan vara rörliga, och även avgifter kan komma att ändras under en kredits löptid. Det bör därför klargöras i råden att ett totalbelopp ska beräknas utifrån den ränta och de avgifter som gäller vid tidpunkten för marknadsföringen. </w:t>
      </w:r>
    </w:p>
    <w:p w14:paraId="057010E3" w14:textId="77777777" w:rsidR="00CF75B4" w:rsidRDefault="00CF75B4" w:rsidP="00CF75B4">
      <w:pPr>
        <w:rPr>
          <w:rFonts w:eastAsia="Arial"/>
        </w:rPr>
      </w:pPr>
    </w:p>
    <w:p w14:paraId="5B50D806" w14:textId="77777777" w:rsidR="00CF75B4" w:rsidRPr="007E3C76" w:rsidRDefault="00CF75B4" w:rsidP="00CF75B4">
      <w:pPr>
        <w:rPr>
          <w:rFonts w:eastAsia="Arial"/>
          <w:i/>
          <w:iCs/>
        </w:rPr>
      </w:pPr>
      <w:r w:rsidRPr="007E3C76">
        <w:rPr>
          <w:rFonts w:eastAsia="Arial"/>
          <w:i/>
          <w:iCs/>
        </w:rPr>
        <w:t>Konsekvensutredning och övergångstid</w:t>
      </w:r>
    </w:p>
    <w:p w14:paraId="477C3E3D" w14:textId="77777777" w:rsidR="00CF75B4" w:rsidRPr="005E25FF" w:rsidRDefault="00CF75B4" w:rsidP="00CF75B4">
      <w:pPr>
        <w:rPr>
          <w:rFonts w:eastAsia="Arial"/>
        </w:rPr>
      </w:pPr>
      <w:r w:rsidRPr="005E25FF">
        <w:rPr>
          <w:rFonts w:eastAsia="Arial"/>
        </w:rPr>
        <w:t xml:space="preserve">Konsumentverket bedömer i konsekvensutredningen att de allmänna råden inte innebär några nya materiella krav och att det inte är möjligt att kvantifiera eventuella kostnader eller besparingar. </w:t>
      </w:r>
      <w:r>
        <w:rPr>
          <w:rFonts w:eastAsia="Arial"/>
        </w:rPr>
        <w:t>Svenska Bankföreningen</w:t>
      </w:r>
      <w:r w:rsidRPr="005E25FF">
        <w:rPr>
          <w:rFonts w:eastAsia="Arial"/>
        </w:rPr>
        <w:t xml:space="preserve"> ifrågasätter denna bedömning</w:t>
      </w:r>
      <w:r>
        <w:rPr>
          <w:rFonts w:eastAsia="Arial"/>
        </w:rPr>
        <w:t xml:space="preserve"> med följande motivering.</w:t>
      </w:r>
    </w:p>
    <w:p w14:paraId="046C7EC2" w14:textId="77777777" w:rsidR="00CF75B4" w:rsidRPr="005E25FF" w:rsidRDefault="00CF75B4" w:rsidP="00CF75B4">
      <w:pPr>
        <w:rPr>
          <w:rFonts w:eastAsia="Arial"/>
        </w:rPr>
      </w:pPr>
    </w:p>
    <w:p w14:paraId="51478EB9" w14:textId="77777777" w:rsidR="00CF75B4" w:rsidRDefault="00CF75B4" w:rsidP="00CF75B4">
      <w:r w:rsidRPr="005E25FF">
        <w:rPr>
          <w:rFonts w:eastAsia="Arial"/>
        </w:rPr>
        <w:t xml:space="preserve">Rådens krav på att näringsidkare på visst sätt identifierar konsumenter med spelproblematik (råd 1.1–1.3) kommer i praktiken att kräva anpassningar av IT-system, rutiner, mallar och avtal. </w:t>
      </w:r>
      <w:r>
        <w:rPr>
          <w:rFonts w:eastAsia="Arial"/>
        </w:rPr>
        <w:t>Det är stor skillnad på att ha tillgång till vissa data i ett kontosystem och att aktivt hantera denna data för att känna till vad den innebär samt även agera med utgångspunkt i detta. Det kommer därmed att behöva utvecklas helt nya processer för detta om råden avses ha sådan innebörd. Svenska Bankföreningen</w:t>
      </w:r>
      <w:r w:rsidRPr="005E25FF">
        <w:rPr>
          <w:rFonts w:eastAsia="Arial"/>
        </w:rPr>
        <w:t xml:space="preserve"> </w:t>
      </w:r>
      <w:r>
        <w:rPr>
          <w:rFonts w:eastAsia="Arial"/>
        </w:rPr>
        <w:t>anser att</w:t>
      </w:r>
      <w:r w:rsidRPr="005E25FF">
        <w:rPr>
          <w:rFonts w:eastAsia="Arial"/>
        </w:rPr>
        <w:t xml:space="preserve"> Konsumentverket </w:t>
      </w:r>
      <w:r>
        <w:rPr>
          <w:rFonts w:eastAsia="Arial"/>
        </w:rPr>
        <w:t>bör</w:t>
      </w:r>
      <w:r w:rsidRPr="005E25FF">
        <w:rPr>
          <w:rFonts w:eastAsia="Arial"/>
        </w:rPr>
        <w:t xml:space="preserve"> säkerställa att näringsidkarna ges en rimlig övergångstid för erforderliga tekniska och processuella anpassningar utöver den formella ikraftträdandetidpunkten den 20 november 2026. </w:t>
      </w:r>
    </w:p>
    <w:p w14:paraId="423A4324" w14:textId="77777777" w:rsidR="00CF75B4" w:rsidRPr="00CF75B4" w:rsidRDefault="00CF75B4" w:rsidP="00CF75B4"/>
    <w:p w14:paraId="27A7399F" w14:textId="77777777" w:rsidR="00CF75B4" w:rsidRPr="00CF75B4" w:rsidRDefault="00CF75B4" w:rsidP="00CF75B4"/>
    <w:p w14:paraId="03C28AF2" w14:textId="77777777" w:rsidR="00CF75B4" w:rsidRPr="00CF75B4" w:rsidRDefault="00CF75B4" w:rsidP="00CF75B4"/>
    <w:tbl>
      <w:tblPr>
        <w:tblW w:w="8277" w:type="dxa"/>
        <w:tblLayout w:type="fixed"/>
        <w:tblCellMar>
          <w:left w:w="0" w:type="dxa"/>
          <w:right w:w="0" w:type="dxa"/>
        </w:tblCellMar>
        <w:tblLook w:val="0000" w:firstRow="0" w:lastRow="0" w:firstColumn="0" w:lastColumn="0" w:noHBand="0" w:noVBand="0"/>
      </w:tblPr>
      <w:tblGrid>
        <w:gridCol w:w="4252"/>
        <w:gridCol w:w="4025"/>
      </w:tblGrid>
      <w:tr w:rsidR="00CF75B4" w:rsidRPr="00CF75B4" w14:paraId="6B0E0100" w14:textId="77777777" w:rsidTr="00CF75B4">
        <w:trPr>
          <w:trHeight w:val="1247"/>
        </w:trPr>
        <w:tc>
          <w:tcPr>
            <w:tcW w:w="4252" w:type="dxa"/>
          </w:tcPr>
          <w:p w14:paraId="539E558A" w14:textId="155385D1" w:rsidR="00CF75B4" w:rsidRPr="00CF75B4" w:rsidRDefault="00CF75B4" w:rsidP="00CF75B4">
            <w:r w:rsidRPr="00CF75B4">
              <w:rPr>
                <w:caps/>
              </w:rPr>
              <w:t>SVENSKA BANKFÖRENINGEN</w:t>
            </w:r>
          </w:p>
        </w:tc>
        <w:tc>
          <w:tcPr>
            <w:tcW w:w="4025" w:type="dxa"/>
          </w:tcPr>
          <w:p w14:paraId="7C4480CC" w14:textId="77777777" w:rsidR="00CF75B4" w:rsidRPr="00CF75B4" w:rsidRDefault="00CF75B4" w:rsidP="00CF75B4"/>
        </w:tc>
      </w:tr>
      <w:tr w:rsidR="00CF75B4" w:rsidRPr="00CF75B4" w14:paraId="49D89832" w14:textId="77777777" w:rsidTr="00CF75B4">
        <w:tc>
          <w:tcPr>
            <w:tcW w:w="4252" w:type="dxa"/>
          </w:tcPr>
          <w:p w14:paraId="1349569D" w14:textId="404159A0" w:rsidR="00CF75B4" w:rsidRPr="00CF75B4" w:rsidRDefault="00CF75B4" w:rsidP="00CF75B4">
            <w:r w:rsidRPr="00CF75B4">
              <w:t>Hans Lindberg</w:t>
            </w:r>
          </w:p>
        </w:tc>
        <w:tc>
          <w:tcPr>
            <w:tcW w:w="4025" w:type="dxa"/>
          </w:tcPr>
          <w:p w14:paraId="7F8C7104" w14:textId="26181988" w:rsidR="00CF75B4" w:rsidRPr="00CF75B4" w:rsidRDefault="00CF75B4" w:rsidP="00CF75B4">
            <w:r w:rsidRPr="00CF75B4">
              <w:t>Jessie Cargill-Ek</w:t>
            </w:r>
            <w:bookmarkStart w:id="2" w:name="Position"/>
            <w:bookmarkEnd w:id="2"/>
          </w:p>
        </w:tc>
      </w:tr>
    </w:tbl>
    <w:p w14:paraId="4A0A84AE" w14:textId="77777777" w:rsidR="00CF75B4" w:rsidRPr="00CF75B4" w:rsidRDefault="00CF75B4" w:rsidP="00CF75B4"/>
    <w:sectPr w:rsidR="00CF75B4" w:rsidRPr="00CF75B4" w:rsidSect="00E932E1">
      <w:headerReference w:type="default" r:id="rId8"/>
      <w:footerReference w:type="default" r:id="rId9"/>
      <w:headerReference w:type="first" r:id="rId10"/>
      <w:footerReference w:type="first" r:id="rId11"/>
      <w:pgSz w:w="11907" w:h="16839" w:code="9"/>
      <w:pgMar w:top="2835" w:right="1304" w:bottom="1361" w:left="2325"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7D2A3" w14:textId="77777777" w:rsidR="003A2D0E" w:rsidRDefault="003A2D0E" w:rsidP="00A75A57">
      <w:pPr>
        <w:spacing w:line="240" w:lineRule="auto"/>
      </w:pPr>
      <w:r>
        <w:separator/>
      </w:r>
    </w:p>
  </w:endnote>
  <w:endnote w:type="continuationSeparator" w:id="0">
    <w:p w14:paraId="6A18419A" w14:textId="77777777" w:rsidR="003A2D0E" w:rsidRDefault="003A2D0E" w:rsidP="00A75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80521"/>
      <w:docPartObj>
        <w:docPartGallery w:val="Page Numbers (Bottom of Page)"/>
        <w:docPartUnique/>
      </w:docPartObj>
    </w:sdtPr>
    <w:sdtEndPr/>
    <w:sdtContent>
      <w:p w14:paraId="233651BB" w14:textId="1658B608" w:rsidR="00CF75B4" w:rsidRDefault="00CF75B4">
        <w:pPr>
          <w:pStyle w:val="Sidfot"/>
          <w:jc w:val="right"/>
        </w:pPr>
        <w:r>
          <w:fldChar w:fldCharType="begin"/>
        </w:r>
        <w:r>
          <w:instrText>PAGE   \* MERGEFORMAT</w:instrText>
        </w:r>
        <w:r>
          <w:fldChar w:fldCharType="separate"/>
        </w:r>
        <w:r>
          <w:t>2</w:t>
        </w:r>
        <w:r>
          <w:fldChar w:fldCharType="end"/>
        </w:r>
      </w:p>
    </w:sdtContent>
  </w:sdt>
  <w:p w14:paraId="1718188D" w14:textId="77777777" w:rsidR="00CF75B4" w:rsidRDefault="00CF75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tblpY="14686"/>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E932E1" w14:paraId="4C7FB458" w14:textId="77777777" w:rsidTr="00E932E1">
      <w:trPr>
        <w:cantSplit/>
        <w:trHeight w:hRule="exact" w:val="851"/>
      </w:trPr>
      <w:tc>
        <w:tcPr>
          <w:tcW w:w="8222" w:type="dxa"/>
          <w:tcMar>
            <w:left w:w="0" w:type="dxa"/>
            <w:right w:w="0" w:type="dxa"/>
          </w:tcMar>
        </w:tcPr>
        <w:p w14:paraId="69D28686" w14:textId="77777777" w:rsidR="00E932E1" w:rsidRDefault="00E932E1" w:rsidP="00E932E1">
          <w:pPr>
            <w:pStyle w:val="Sidfot"/>
          </w:pPr>
        </w:p>
      </w:tc>
    </w:tr>
    <w:tr w:rsidR="00A75A57" w14:paraId="78472B87" w14:textId="77777777" w:rsidTr="00E932E1">
      <w:trPr>
        <w:cantSplit/>
        <w:trHeight w:val="283"/>
      </w:trPr>
      <w:tc>
        <w:tcPr>
          <w:tcW w:w="8222" w:type="dxa"/>
          <w:tcMar>
            <w:left w:w="0" w:type="dxa"/>
            <w:right w:w="0" w:type="dxa"/>
          </w:tcMar>
        </w:tcPr>
        <w:p w14:paraId="5A3682DD" w14:textId="51EB0569" w:rsidR="00A75A57" w:rsidRDefault="00CF75B4" w:rsidP="00E932E1">
          <w:pPr>
            <w:pStyle w:val="Sidfot"/>
          </w:pPr>
          <w:bookmarkStart w:id="10" w:name="xxFooterCell1"/>
          <w:bookmarkStart w:id="11" w:name="xxAddressCell1"/>
          <w:bookmarkStart w:id="12" w:name="xxAddress1"/>
          <w:bookmarkStart w:id="13" w:name="xxFooter1"/>
          <w:bookmarkEnd w:id="10"/>
          <w:bookmarkEnd w:id="11"/>
          <w:bookmarkEnd w:id="12"/>
          <w:bookmarkEnd w:id="13"/>
          <w:r>
            <w:rPr>
              <w:noProof/>
            </w:rPr>
            <w:drawing>
              <wp:inline distT="0" distB="0" distL="0" distR="0" wp14:anchorId="403B7359" wp14:editId="51AECFFA">
                <wp:extent cx="4526280" cy="432816"/>
                <wp:effectExtent l="0" t="0" r="0" b="5715"/>
                <wp:docPr id="1515452460" name="Bildobjekt 1"/>
                <wp:cNvGraphicFramePr/>
                <a:graphic xmlns:a="http://schemas.openxmlformats.org/drawingml/2006/main">
                  <a:graphicData uri="http://schemas.openxmlformats.org/drawingml/2006/picture">
                    <pic:pic xmlns:pic="http://schemas.openxmlformats.org/drawingml/2006/picture">
                      <pic:nvPicPr>
                        <pic:cNvPr id="1515452460" name=""/>
                        <pic:cNvPicPr/>
                      </pic:nvPicPr>
                      <pic:blipFill>
                        <a:blip r:embed="rId1">
                          <a:extLst>
                            <a:ext uri="{28A0092B-C50C-407E-A947-70E740481C1C}">
                              <a14:useLocalDpi xmlns:a14="http://schemas.microsoft.com/office/drawing/2010/main" val="0"/>
                            </a:ext>
                          </a:extLst>
                        </a:blip>
                        <a:stretch>
                          <a:fillRect/>
                        </a:stretch>
                      </pic:blipFill>
                      <pic:spPr>
                        <a:xfrm>
                          <a:off x="0" y="0"/>
                          <a:ext cx="4526280" cy="432816"/>
                        </a:xfrm>
                        <a:prstGeom prst="rect">
                          <a:avLst/>
                        </a:prstGeom>
                      </pic:spPr>
                    </pic:pic>
                  </a:graphicData>
                </a:graphic>
              </wp:inline>
            </w:drawing>
          </w:r>
        </w:p>
      </w:tc>
    </w:tr>
  </w:tbl>
  <w:p w14:paraId="5D5DD2AD" w14:textId="77777777" w:rsidR="00A75A57" w:rsidRPr="00900481" w:rsidRDefault="00A75A57" w:rsidP="0038209D">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B0BA" w14:textId="77777777" w:rsidR="003A2D0E" w:rsidRDefault="003A2D0E" w:rsidP="00A75A57">
      <w:pPr>
        <w:spacing w:line="240" w:lineRule="auto"/>
      </w:pPr>
      <w:r>
        <w:separator/>
      </w:r>
    </w:p>
  </w:footnote>
  <w:footnote w:type="continuationSeparator" w:id="0">
    <w:p w14:paraId="0EC3DD09" w14:textId="77777777" w:rsidR="003A2D0E" w:rsidRDefault="003A2D0E" w:rsidP="00A75A57">
      <w:pPr>
        <w:spacing w:line="240" w:lineRule="auto"/>
      </w:pPr>
      <w:r>
        <w:continuationSeparator/>
      </w:r>
    </w:p>
  </w:footnote>
  <w:footnote w:id="1">
    <w:p w14:paraId="2360DF66" w14:textId="77777777" w:rsidR="00CF75B4" w:rsidRPr="00926510" w:rsidRDefault="00CF75B4" w:rsidP="00CF75B4">
      <w:pPr>
        <w:pStyle w:val="Fotnotstext"/>
      </w:pPr>
      <w:r>
        <w:rPr>
          <w:rStyle w:val="Fotnotsreferens"/>
        </w:rPr>
        <w:footnoteRef/>
      </w:r>
      <w:r>
        <w:t xml:space="preserve"> Se</w:t>
      </w:r>
      <w:r w:rsidRPr="00926510">
        <w:t xml:space="preserve"> Myndigheternas föreskrifter Handbok i författningsskrivning Ds 1998:43 s 2</w:t>
      </w:r>
      <w:r>
        <w:t>5</w:t>
      </w:r>
      <w:r w:rsidRPr="00926510">
        <w:t>:</w:t>
      </w:r>
    </w:p>
    <w:p w14:paraId="56671868" w14:textId="77777777" w:rsidR="00CF75B4" w:rsidRPr="00926510" w:rsidRDefault="00CF75B4" w:rsidP="00CF75B4">
      <w:pPr>
        <w:pStyle w:val="Fotnotstext"/>
      </w:pPr>
      <w:r w:rsidRPr="00926510">
        <w:t> </w:t>
      </w:r>
      <w:r w:rsidRPr="00926510">
        <w:rPr>
          <w:i/>
          <w:iCs/>
        </w:rPr>
        <w:t>"I 1 § författningssamlingsförordningen definieras allmänna råd som sådana generella rekommendationer om tillämpningen av en författning som anger hur någon kan eller bör handla i ett visst hänseende. Det behövs inget särskilt bemyndigande för att en myndighet skall få besluta allmänna råd </w:t>
      </w:r>
      <w:r w:rsidRPr="009D3B1B">
        <w:rPr>
          <w:i/>
          <w:iCs/>
        </w:rPr>
        <w:t>på sitt område </w:t>
      </w:r>
      <w:r w:rsidRPr="00926510">
        <w:rPr>
          <w:i/>
          <w:iCs/>
        </w:rPr>
        <w:t>(prop. 1983/84:119 s. 24)"</w:t>
      </w:r>
    </w:p>
    <w:p w14:paraId="4C203987" w14:textId="77777777" w:rsidR="00CF75B4" w:rsidRDefault="00CF75B4" w:rsidP="00CF75B4">
      <w:pPr>
        <w:pStyle w:val="Fotnotstext"/>
      </w:pPr>
    </w:p>
  </w:footnote>
  <w:footnote w:id="2">
    <w:p w14:paraId="0B4BD187" w14:textId="77777777" w:rsidR="00CF75B4" w:rsidRDefault="00CF75B4" w:rsidP="00CF75B4">
      <w:pPr>
        <w:pStyle w:val="Fotnotstext"/>
      </w:pPr>
      <w:r>
        <w:rPr>
          <w:rStyle w:val="Fotnotsreferens"/>
        </w:rPr>
        <w:footnoteRef/>
      </w:r>
      <w:r>
        <w:t xml:space="preserve"> </w:t>
      </w:r>
      <w:r w:rsidRPr="00B94A5C">
        <w:t>EBA:s riktlinjer om kreditgivning och övervakning (EBA/GL/2020/06) punkt</w:t>
      </w:r>
      <w:r w:rsidRPr="00CD15E4">
        <w:t xml:space="preserve"> 8</w:t>
      </w:r>
      <w:r>
        <w:t>5.</w:t>
      </w:r>
    </w:p>
  </w:footnote>
  <w:footnote w:id="3">
    <w:p w14:paraId="76B1E794" w14:textId="77777777" w:rsidR="00CF75B4" w:rsidRDefault="00CF75B4" w:rsidP="00CF75B4">
      <w:pPr>
        <w:pStyle w:val="Fotnotstext"/>
      </w:pPr>
      <w:r>
        <w:rPr>
          <w:rStyle w:val="Fotnotsreferens"/>
        </w:rPr>
        <w:footnoteRef/>
      </w:r>
      <w:r>
        <w:t xml:space="preserve"> </w:t>
      </w:r>
      <w:r w:rsidRPr="00EF5AC7">
        <w:t>Diagnosen spelberoende (hasardspelsyndrom) ingår som enda icke substansbetingade beroendesyndrom i den diagnostiska manualen DSM-5 [1]</w:t>
      </w:r>
      <w:r>
        <w:t xml:space="preserve"> </w:t>
      </w:r>
      <w:proofErr w:type="spellStart"/>
      <w:r w:rsidRPr="00112033">
        <w:t>Diagnostic</w:t>
      </w:r>
      <w:proofErr w:type="spellEnd"/>
      <w:r w:rsidRPr="00112033">
        <w:t xml:space="preserve"> and </w:t>
      </w:r>
      <w:proofErr w:type="spellStart"/>
      <w:r w:rsidRPr="00112033">
        <w:t>Statistical</w:t>
      </w:r>
      <w:proofErr w:type="spellEnd"/>
      <w:r w:rsidRPr="00112033">
        <w:t xml:space="preserve"> Manual </w:t>
      </w:r>
      <w:proofErr w:type="spellStart"/>
      <w:r w:rsidRPr="00112033">
        <w:t>of</w:t>
      </w:r>
      <w:proofErr w:type="spellEnd"/>
      <w:r w:rsidRPr="00112033">
        <w:t xml:space="preserve"> Mental Disorders</w:t>
      </w:r>
      <w:r w:rsidRPr="00EF5AC7">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4B5A" w14:textId="77777777" w:rsidR="00F47F94" w:rsidRPr="00BF6EFC" w:rsidRDefault="00F47F94" w:rsidP="0040636C">
    <w:pPr>
      <w:pStyle w:val="Sidhuvud"/>
      <w:rPr>
        <w:sz w:val="2"/>
        <w:szCs w:val="2"/>
      </w:rPr>
    </w:pPr>
    <w:bookmarkStart w:id="3" w:name="xxHeaderText2"/>
    <w:bookmarkEnd w:id="3"/>
  </w:p>
  <w:tbl>
    <w:tblPr>
      <w:tblStyle w:val="Tabellrutnt"/>
      <w:tblW w:w="955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3"/>
      <w:gridCol w:w="3521"/>
    </w:tblGrid>
    <w:tr w:rsidR="003B31B3" w14:paraId="45979238" w14:textId="77777777" w:rsidTr="003B31B3">
      <w:trPr>
        <w:cantSplit/>
        <w:trHeight w:val="1003"/>
      </w:trPr>
      <w:tc>
        <w:tcPr>
          <w:tcW w:w="6033" w:type="dxa"/>
          <w:vMerge w:val="restart"/>
          <w:tcMar>
            <w:left w:w="0" w:type="dxa"/>
            <w:right w:w="0" w:type="dxa"/>
          </w:tcMar>
        </w:tcPr>
        <w:p w14:paraId="5251ACFC" w14:textId="208EDA5E" w:rsidR="003B31B3" w:rsidRDefault="00CF75B4" w:rsidP="00F47F94">
          <w:pPr>
            <w:pStyle w:val="Sidfot"/>
          </w:pPr>
          <w:bookmarkStart w:id="4" w:name="xxHeader2" w:colFirst="0" w:colLast="0"/>
          <w:r>
            <w:rPr>
              <w:noProof/>
            </w:rPr>
            <w:drawing>
              <wp:inline distT="0" distB="0" distL="0" distR="0" wp14:anchorId="235C001F" wp14:editId="36B30EF1">
                <wp:extent cx="2919984" cy="841248"/>
                <wp:effectExtent l="0" t="0" r="0" b="0"/>
                <wp:docPr id="1107901067" name="Bildobjekt 3"/>
                <wp:cNvGraphicFramePr/>
                <a:graphic xmlns:a="http://schemas.openxmlformats.org/drawingml/2006/main">
                  <a:graphicData uri="http://schemas.openxmlformats.org/drawingml/2006/picture">
                    <pic:pic xmlns:pic="http://schemas.openxmlformats.org/drawingml/2006/picture">
                      <pic:nvPicPr>
                        <pic:cNvPr id="1107901067" name=""/>
                        <pic:cNvPicPr/>
                      </pic:nvPicPr>
                      <pic:blipFill>
                        <a:blip r:embed="rId1">
                          <a:extLst>
                            <a:ext uri="{28A0092B-C50C-407E-A947-70E740481C1C}">
                              <a14:useLocalDpi xmlns:a14="http://schemas.microsoft.com/office/drawing/2010/main" val="0"/>
                            </a:ext>
                          </a:extLst>
                        </a:blip>
                        <a:stretch>
                          <a:fillRect/>
                        </a:stretch>
                      </pic:blipFill>
                      <pic:spPr>
                        <a:xfrm>
                          <a:off x="0" y="0"/>
                          <a:ext cx="2919984" cy="841248"/>
                        </a:xfrm>
                        <a:prstGeom prst="rect">
                          <a:avLst/>
                        </a:prstGeom>
                      </pic:spPr>
                    </pic:pic>
                  </a:graphicData>
                </a:graphic>
              </wp:inline>
            </w:drawing>
          </w:r>
        </w:p>
      </w:tc>
      <w:tc>
        <w:tcPr>
          <w:tcW w:w="3521" w:type="dxa"/>
          <w:vAlign w:val="center"/>
        </w:tcPr>
        <w:p w14:paraId="226631F7" w14:textId="77777777" w:rsidR="003B31B3" w:rsidRPr="0076417A" w:rsidRDefault="003B31B3" w:rsidP="00F47F94">
          <w:pPr>
            <w:pStyle w:val="Sidfot"/>
            <w:jc w:val="right"/>
            <w:rPr>
              <w:b/>
              <w:bCs/>
              <w:noProof/>
              <w:sz w:val="28"/>
              <w:szCs w:val="28"/>
            </w:rPr>
          </w:pPr>
        </w:p>
      </w:tc>
    </w:tr>
    <w:bookmarkEnd w:id="4"/>
    <w:tr w:rsidR="003B31B3" w14:paraId="6DD9CE8D" w14:textId="77777777" w:rsidTr="00551B24">
      <w:trPr>
        <w:cantSplit/>
        <w:trHeight w:val="369"/>
      </w:trPr>
      <w:tc>
        <w:tcPr>
          <w:tcW w:w="6033" w:type="dxa"/>
          <w:vMerge/>
          <w:tcMar>
            <w:left w:w="0" w:type="dxa"/>
            <w:right w:w="0" w:type="dxa"/>
          </w:tcMar>
        </w:tcPr>
        <w:p w14:paraId="62D13EBD" w14:textId="77777777" w:rsidR="003B31B3" w:rsidRDefault="003B31B3" w:rsidP="00F47F94">
          <w:pPr>
            <w:pStyle w:val="Sidfot"/>
            <w:rPr>
              <w:noProof/>
            </w:rPr>
          </w:pPr>
        </w:p>
      </w:tc>
      <w:tc>
        <w:tcPr>
          <w:tcW w:w="3521" w:type="dxa"/>
        </w:tcPr>
        <w:p w14:paraId="1060D50B" w14:textId="77777777" w:rsidR="003B31B3" w:rsidRDefault="003B31B3" w:rsidP="00F47F94">
          <w:pPr>
            <w:pStyle w:val="Sidfot"/>
            <w:jc w:val="right"/>
            <w:rPr>
              <w:noProof/>
            </w:rPr>
          </w:pPr>
          <w:bookmarkStart w:id="5" w:name="xxPageNo2"/>
          <w:bookmarkEnd w:id="5"/>
        </w:p>
      </w:tc>
    </w:tr>
  </w:tbl>
  <w:p w14:paraId="57D5E2F8" w14:textId="77777777" w:rsidR="0099402B" w:rsidRPr="00F47F94" w:rsidRDefault="0099402B" w:rsidP="00F47F94">
    <w:pPr>
      <w:pStyle w:val="Sidhuvud"/>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1E0B" w14:textId="77777777" w:rsidR="00F47F94" w:rsidRPr="00BF6EFC" w:rsidRDefault="00F47F94" w:rsidP="0040636C">
    <w:pPr>
      <w:pStyle w:val="Sidhuvud"/>
      <w:rPr>
        <w:sz w:val="2"/>
        <w:szCs w:val="2"/>
      </w:rPr>
    </w:pPr>
    <w:bookmarkStart w:id="6" w:name="xxLogga1"/>
    <w:bookmarkEnd w:id="6"/>
  </w:p>
  <w:tbl>
    <w:tblPr>
      <w:tblStyle w:val="Tabellrutnt"/>
      <w:tblW w:w="955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3"/>
      <w:gridCol w:w="3521"/>
    </w:tblGrid>
    <w:tr w:rsidR="003B31B3" w14:paraId="01706633" w14:textId="77777777" w:rsidTr="003B31B3">
      <w:trPr>
        <w:cantSplit/>
        <w:trHeight w:val="1003"/>
      </w:trPr>
      <w:tc>
        <w:tcPr>
          <w:tcW w:w="6033" w:type="dxa"/>
          <w:vMerge w:val="restart"/>
          <w:tcMar>
            <w:left w:w="0" w:type="dxa"/>
            <w:right w:w="0" w:type="dxa"/>
          </w:tcMar>
        </w:tcPr>
        <w:p w14:paraId="19AA8528" w14:textId="192F5BBD" w:rsidR="003B31B3" w:rsidRDefault="00CF75B4" w:rsidP="00F47F94">
          <w:pPr>
            <w:pStyle w:val="Sidfot"/>
          </w:pPr>
          <w:bookmarkStart w:id="7" w:name="xxHeader1" w:colFirst="0" w:colLast="0"/>
          <w:r>
            <w:rPr>
              <w:noProof/>
            </w:rPr>
            <w:drawing>
              <wp:inline distT="0" distB="0" distL="0" distR="0" wp14:anchorId="48DF1A3B" wp14:editId="7E681CEA">
                <wp:extent cx="2919984" cy="841248"/>
                <wp:effectExtent l="0" t="0" r="0" b="0"/>
                <wp:docPr id="1208269050" name="Bildobjekt 2"/>
                <wp:cNvGraphicFramePr/>
                <a:graphic xmlns:a="http://schemas.openxmlformats.org/drawingml/2006/main">
                  <a:graphicData uri="http://schemas.openxmlformats.org/drawingml/2006/picture">
                    <pic:pic xmlns:pic="http://schemas.openxmlformats.org/drawingml/2006/picture">
                      <pic:nvPicPr>
                        <pic:cNvPr id="1208269050" name=""/>
                        <pic:cNvPicPr/>
                      </pic:nvPicPr>
                      <pic:blipFill>
                        <a:blip r:embed="rId1">
                          <a:extLst>
                            <a:ext uri="{28A0092B-C50C-407E-A947-70E740481C1C}">
                              <a14:useLocalDpi xmlns:a14="http://schemas.microsoft.com/office/drawing/2010/main" val="0"/>
                            </a:ext>
                          </a:extLst>
                        </a:blip>
                        <a:stretch>
                          <a:fillRect/>
                        </a:stretch>
                      </pic:blipFill>
                      <pic:spPr>
                        <a:xfrm>
                          <a:off x="0" y="0"/>
                          <a:ext cx="2919984" cy="841248"/>
                        </a:xfrm>
                        <a:prstGeom prst="rect">
                          <a:avLst/>
                        </a:prstGeom>
                      </pic:spPr>
                    </pic:pic>
                  </a:graphicData>
                </a:graphic>
              </wp:inline>
            </w:drawing>
          </w:r>
        </w:p>
      </w:tc>
      <w:tc>
        <w:tcPr>
          <w:tcW w:w="3521" w:type="dxa"/>
          <w:vAlign w:val="center"/>
        </w:tcPr>
        <w:p w14:paraId="525C9676" w14:textId="77777777" w:rsidR="00CF75B4" w:rsidRPr="00CF75B4" w:rsidRDefault="00CF75B4" w:rsidP="00F47F94">
          <w:pPr>
            <w:pStyle w:val="Sidfot"/>
            <w:jc w:val="right"/>
            <w:rPr>
              <w:b/>
              <w:bCs/>
              <w:caps/>
              <w:noProof/>
              <w:sz w:val="28"/>
              <w:szCs w:val="28"/>
            </w:rPr>
          </w:pPr>
          <w:bookmarkStart w:id="8" w:name="xxDokumentnamn"/>
          <w:bookmarkEnd w:id="8"/>
          <w:r w:rsidRPr="00CF75B4">
            <w:rPr>
              <w:b/>
              <w:bCs/>
              <w:caps/>
              <w:noProof/>
              <w:sz w:val="28"/>
              <w:szCs w:val="28"/>
            </w:rPr>
            <w:t>REMISSYTTRANDE</w:t>
          </w:r>
        </w:p>
        <w:p w14:paraId="6F3DA423" w14:textId="77777777" w:rsidR="00CF75B4" w:rsidRPr="00CF75B4" w:rsidRDefault="00CF75B4" w:rsidP="00F47F94">
          <w:pPr>
            <w:pStyle w:val="Sidfot"/>
            <w:jc w:val="right"/>
            <w:rPr>
              <w:bCs/>
              <w:noProof/>
              <w:szCs w:val="28"/>
            </w:rPr>
          </w:pPr>
          <w:r w:rsidRPr="00CF75B4">
            <w:rPr>
              <w:bCs/>
              <w:noProof/>
              <w:szCs w:val="28"/>
            </w:rPr>
            <w:t>Vår referens: 2026/06/002</w:t>
          </w:r>
        </w:p>
        <w:p w14:paraId="5798DFEB" w14:textId="77777777" w:rsidR="00CF75B4" w:rsidRPr="00CF75B4" w:rsidRDefault="00CF75B4" w:rsidP="00F47F94">
          <w:pPr>
            <w:pStyle w:val="Sidfot"/>
            <w:jc w:val="right"/>
            <w:rPr>
              <w:bCs/>
              <w:noProof/>
              <w:szCs w:val="28"/>
            </w:rPr>
          </w:pPr>
          <w:r w:rsidRPr="00CF75B4">
            <w:rPr>
              <w:bCs/>
              <w:noProof/>
              <w:szCs w:val="28"/>
            </w:rPr>
            <w:t>Er referens: 2026/789</w:t>
          </w:r>
        </w:p>
        <w:p w14:paraId="3DC31E5B" w14:textId="2ACEB8EB" w:rsidR="003B31B3" w:rsidRPr="0076417A" w:rsidRDefault="003B31B3" w:rsidP="00F47F94">
          <w:pPr>
            <w:pStyle w:val="Sidfot"/>
            <w:jc w:val="right"/>
            <w:rPr>
              <w:b/>
              <w:bCs/>
              <w:noProof/>
              <w:sz w:val="28"/>
              <w:szCs w:val="28"/>
            </w:rPr>
          </w:pPr>
        </w:p>
      </w:tc>
    </w:tr>
    <w:bookmarkEnd w:id="7"/>
    <w:tr w:rsidR="003B31B3" w14:paraId="0752AE7B" w14:textId="77777777" w:rsidTr="00551B24">
      <w:trPr>
        <w:cantSplit/>
        <w:trHeight w:val="369"/>
      </w:trPr>
      <w:tc>
        <w:tcPr>
          <w:tcW w:w="6033" w:type="dxa"/>
          <w:vMerge/>
          <w:tcMar>
            <w:left w:w="0" w:type="dxa"/>
            <w:right w:w="0" w:type="dxa"/>
          </w:tcMar>
        </w:tcPr>
        <w:p w14:paraId="500D5D89" w14:textId="77777777" w:rsidR="003B31B3" w:rsidRDefault="003B31B3" w:rsidP="00F47F94">
          <w:pPr>
            <w:pStyle w:val="Sidfot"/>
            <w:rPr>
              <w:noProof/>
            </w:rPr>
          </w:pPr>
        </w:p>
      </w:tc>
      <w:tc>
        <w:tcPr>
          <w:tcW w:w="3521" w:type="dxa"/>
        </w:tcPr>
        <w:p w14:paraId="2BCA34A7" w14:textId="77777777" w:rsidR="003B31B3" w:rsidRDefault="003B31B3" w:rsidP="00F47F94">
          <w:pPr>
            <w:pStyle w:val="Sidfot"/>
            <w:jc w:val="right"/>
            <w:rPr>
              <w:noProof/>
            </w:rPr>
          </w:pPr>
          <w:bookmarkStart w:id="9" w:name="xxPageNo1"/>
          <w:bookmarkEnd w:id="9"/>
        </w:p>
      </w:tc>
    </w:tr>
  </w:tbl>
  <w:p w14:paraId="09FC66ED" w14:textId="77777777" w:rsidR="003866CF" w:rsidRPr="00F47F94" w:rsidRDefault="003866CF" w:rsidP="00F47F94">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10EDE52"/>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0724526"/>
    <w:multiLevelType w:val="multilevel"/>
    <w:tmpl w:val="E2C2C77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0A34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840AC5"/>
    <w:multiLevelType w:val="multilevel"/>
    <w:tmpl w:val="FFD8C356"/>
    <w:lvl w:ilvl="0">
      <w:start w:val="1"/>
      <w:numFmt w:val="decimal"/>
      <w:lvlRestart w:val="0"/>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6" w15:restartNumberingAfterBreak="0">
    <w:nsid w:val="116B58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3572B8"/>
    <w:multiLevelType w:val="multilevel"/>
    <w:tmpl w:val="E2C2C77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8" w15:restartNumberingAfterBreak="0">
    <w:nsid w:val="14F10E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E133CF"/>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0" w15:restartNumberingAfterBreak="0">
    <w:nsid w:val="1FC21441"/>
    <w:multiLevelType w:val="multilevel"/>
    <w:tmpl w:val="7368F9FE"/>
    <w:lvl w:ilvl="0">
      <w:start w:val="1"/>
      <w:numFmt w:val="decimal"/>
      <w:lvlRestart w:val="0"/>
      <w:lvlText w:val="%1."/>
      <w:lvlJc w:val="left"/>
      <w:pPr>
        <w:tabs>
          <w:tab w:val="num" w:pos="453"/>
        </w:tabs>
        <w:ind w:left="453" w:hanging="453"/>
      </w:pPr>
      <w:rPr>
        <w:rFonts w:ascii="Georgia" w:hAnsi="Georgia" w:cs="Arial" w:hint="default"/>
        <w:sz w:val="20"/>
      </w:rPr>
    </w:lvl>
    <w:lvl w:ilvl="1">
      <w:start w:val="1"/>
      <w:numFmt w:val="lowerLetter"/>
      <w:lvlText w:val="%2)"/>
      <w:lvlJc w:val="left"/>
      <w:pPr>
        <w:tabs>
          <w:tab w:val="num" w:pos="907"/>
        </w:tabs>
        <w:ind w:left="907" w:hanging="454"/>
      </w:pPr>
      <w:rPr>
        <w:rFonts w:ascii="Arial" w:hAnsi="Arial" w:cs="Arial"/>
        <w:sz w:val="20"/>
      </w:rPr>
    </w:lvl>
    <w:lvl w:ilvl="2">
      <w:start w:val="1"/>
      <w:numFmt w:val="lowerRoman"/>
      <w:lvlText w:val="%3)"/>
      <w:lvlJc w:val="left"/>
      <w:pPr>
        <w:tabs>
          <w:tab w:val="num" w:pos="1360"/>
        </w:tabs>
        <w:ind w:left="1360" w:hanging="453"/>
      </w:pPr>
      <w:rPr>
        <w:rFonts w:ascii="Arial" w:hAnsi="Arial" w:cs="Arial"/>
        <w:sz w:val="20"/>
      </w:rPr>
    </w:lvl>
    <w:lvl w:ilvl="3">
      <w:start w:val="1"/>
      <w:numFmt w:val="decimal"/>
      <w:lvlText w:val="%4"/>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1" w15:restartNumberingAfterBreak="0">
    <w:nsid w:val="25AA31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C62201"/>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3" w15:restartNumberingAfterBreak="0">
    <w:nsid w:val="285B6583"/>
    <w:multiLevelType w:val="multilevel"/>
    <w:tmpl w:val="9D4A89A0"/>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4" w15:restartNumberingAfterBreak="0">
    <w:nsid w:val="28A91837"/>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5" w15:restartNumberingAfterBreak="0">
    <w:nsid w:val="2C2D06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F11F5E"/>
    <w:multiLevelType w:val="hybridMultilevel"/>
    <w:tmpl w:val="A2B8F02A"/>
    <w:lvl w:ilvl="0" w:tplc="C09CB0FE">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9D0502"/>
    <w:multiLevelType w:val="multilevel"/>
    <w:tmpl w:val="94341286"/>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18" w15:restartNumberingAfterBreak="0">
    <w:nsid w:val="2FDE1D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9030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22206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CB3440"/>
    <w:multiLevelType w:val="multilevel"/>
    <w:tmpl w:val="F23C9072"/>
    <w:styleLink w:val="CompanyList"/>
    <w:lvl w:ilvl="0">
      <w:start w:val="1"/>
      <w:numFmt w:val="decimal"/>
      <w:lvlRestart w:val="0"/>
      <w:lvlText w:val="%1."/>
      <w:lvlJc w:val="left"/>
      <w:pPr>
        <w:tabs>
          <w:tab w:val="num" w:pos="453"/>
        </w:tabs>
        <w:ind w:left="453" w:hanging="453"/>
      </w:pPr>
      <w:rPr>
        <w:rFonts w:ascii="Symbol" w:hAnsi="Symbol" w:hint="default"/>
      </w:rPr>
    </w:lvl>
    <w:lvl w:ilvl="1">
      <w:start w:val="1"/>
      <w:numFmt w:val="lowerLetter"/>
      <w:lvlText w:val="%2)"/>
      <w:lvlJc w:val="left"/>
      <w:pPr>
        <w:tabs>
          <w:tab w:val="num" w:pos="907"/>
        </w:tabs>
        <w:ind w:left="907" w:hanging="454"/>
      </w:pPr>
      <w:rPr>
        <w:rFonts w:ascii="Arial" w:hAnsi="Arial" w:cs="Arial"/>
      </w:rPr>
    </w:lvl>
    <w:lvl w:ilvl="2">
      <w:start w:val="1"/>
      <w:numFmt w:val="lowerRoman"/>
      <w:lvlText w:val="%3)"/>
      <w:lvlJc w:val="left"/>
      <w:pPr>
        <w:tabs>
          <w:tab w:val="num" w:pos="1360"/>
        </w:tabs>
        <w:ind w:left="1360" w:hanging="453"/>
      </w:pPr>
      <w:rPr>
        <w:rFonts w:ascii="Arial" w:hAnsi="Arial" w:cs="Arial"/>
      </w:rPr>
    </w:lvl>
    <w:lvl w:ilvl="3">
      <w:start w:val="1"/>
      <w:numFmt w:val="decimal"/>
      <w:lvlText w:val="%4"/>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2" w15:restartNumberingAfterBreak="0">
    <w:nsid w:val="39A94879"/>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3" w15:restartNumberingAfterBreak="0">
    <w:nsid w:val="3BED45E6"/>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4" w15:restartNumberingAfterBreak="0">
    <w:nsid w:val="44AA01C5"/>
    <w:multiLevelType w:val="multilevel"/>
    <w:tmpl w:val="7368F9FE"/>
    <w:lvl w:ilvl="0">
      <w:start w:val="1"/>
      <w:numFmt w:val="decimal"/>
      <w:lvlRestart w:val="0"/>
      <w:lvlText w:val="%1."/>
      <w:lvlJc w:val="left"/>
      <w:pPr>
        <w:tabs>
          <w:tab w:val="num" w:pos="453"/>
        </w:tabs>
        <w:ind w:left="453" w:hanging="453"/>
      </w:pPr>
      <w:rPr>
        <w:rFonts w:ascii="Georgia" w:hAnsi="Georgia" w:cs="Arial" w:hint="default"/>
        <w:sz w:val="20"/>
      </w:rPr>
    </w:lvl>
    <w:lvl w:ilvl="1">
      <w:start w:val="1"/>
      <w:numFmt w:val="lowerLetter"/>
      <w:lvlText w:val="%2)"/>
      <w:lvlJc w:val="left"/>
      <w:pPr>
        <w:tabs>
          <w:tab w:val="num" w:pos="907"/>
        </w:tabs>
        <w:ind w:left="907" w:hanging="454"/>
      </w:pPr>
      <w:rPr>
        <w:rFonts w:ascii="Arial" w:hAnsi="Arial" w:cs="Arial"/>
        <w:sz w:val="20"/>
      </w:rPr>
    </w:lvl>
    <w:lvl w:ilvl="2">
      <w:start w:val="1"/>
      <w:numFmt w:val="lowerRoman"/>
      <w:lvlText w:val="%3)"/>
      <w:lvlJc w:val="left"/>
      <w:pPr>
        <w:tabs>
          <w:tab w:val="num" w:pos="1360"/>
        </w:tabs>
        <w:ind w:left="1360" w:hanging="453"/>
      </w:pPr>
      <w:rPr>
        <w:rFonts w:ascii="Arial" w:hAnsi="Arial" w:cs="Arial"/>
        <w:sz w:val="20"/>
      </w:rPr>
    </w:lvl>
    <w:lvl w:ilvl="3">
      <w:start w:val="1"/>
      <w:numFmt w:val="decimal"/>
      <w:lvlText w:val="%4"/>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5" w15:restartNumberingAfterBreak="0">
    <w:nsid w:val="46003B42"/>
    <w:multiLevelType w:val="multilevel"/>
    <w:tmpl w:val="32A0A6BE"/>
    <w:styleLink w:val="CompanyListBullet"/>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6" w15:restartNumberingAfterBreak="0">
    <w:nsid w:val="473E66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02032F2"/>
    <w:multiLevelType w:val="multilevel"/>
    <w:tmpl w:val="9D4A89A0"/>
    <w:lvl w:ilvl="0">
      <w:start w:val="1"/>
      <w:numFmt w:val="decimal"/>
      <w:lvlRestart w:val="0"/>
      <w:lvlText w:val="%1."/>
      <w:lvlJc w:val="left"/>
      <w:pPr>
        <w:tabs>
          <w:tab w:val="num" w:pos="453"/>
        </w:tabs>
        <w:ind w:left="453" w:hanging="453"/>
      </w:pPr>
    </w:lvl>
    <w:lvl w:ilvl="1">
      <w:start w:val="1"/>
      <w:numFmt w:val="lowerLetter"/>
      <w:lvlText w:val="%2)"/>
      <w:lvlJc w:val="left"/>
      <w:pPr>
        <w:tabs>
          <w:tab w:val="num" w:pos="907"/>
        </w:tabs>
        <w:ind w:left="907" w:hanging="454"/>
      </w:pPr>
    </w:lvl>
    <w:lvl w:ilvl="2">
      <w:start w:val="1"/>
      <w:numFmt w:val="lowerRoman"/>
      <w:lvlText w:val="%3)"/>
      <w:lvlJc w:val="left"/>
      <w:pPr>
        <w:tabs>
          <w:tab w:val="num" w:pos="1360"/>
        </w:tabs>
        <w:ind w:left="1360" w:hanging="453"/>
      </w:pPr>
    </w:lvl>
    <w:lvl w:ilvl="3">
      <w:start w:val="1"/>
      <w:numFmt w:val="decimal"/>
      <w:lvlText w:val="%4"/>
      <w:lvlJc w:val="left"/>
      <w:pPr>
        <w:tabs>
          <w:tab w:val="num" w:pos="1814"/>
        </w:tabs>
        <w:ind w:left="1814" w:hanging="454"/>
      </w:p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28" w15:restartNumberingAfterBreak="0">
    <w:nsid w:val="55AA28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D13D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F84EA5"/>
    <w:multiLevelType w:val="multilevel"/>
    <w:tmpl w:val="9A36ADB0"/>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Georgia" w:hAnsi="Georgia"/>
      </w:rPr>
    </w:lvl>
    <w:lvl w:ilvl="2">
      <w:start w:val="1"/>
      <w:numFmt w:val="lowerRoman"/>
      <w:lvlText w:val="-"/>
      <w:lvlJc w:val="left"/>
      <w:pPr>
        <w:tabs>
          <w:tab w:val="num" w:pos="1360"/>
        </w:tabs>
        <w:ind w:left="1360" w:hanging="453"/>
      </w:pPr>
      <w:rPr>
        <w:rFonts w:ascii="Georgia" w:hAnsi="Georgia"/>
      </w:rPr>
    </w:lvl>
    <w:lvl w:ilvl="3">
      <w:start w:val="1"/>
      <w:numFmt w:val="bullet"/>
      <w:lvlText w:val="-"/>
      <w:lvlJc w:val="left"/>
      <w:pPr>
        <w:tabs>
          <w:tab w:val="num" w:pos="1814"/>
        </w:tabs>
        <w:ind w:left="1814" w:hanging="454"/>
      </w:pPr>
      <w:rPr>
        <w:rFonts w:ascii="Georgia" w:hAnsi="Georgia"/>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31" w15:restartNumberingAfterBreak="0">
    <w:nsid w:val="65D8495C"/>
    <w:multiLevelType w:val="multilevel"/>
    <w:tmpl w:val="BF140784"/>
    <w:lvl w:ilvl="0">
      <w:start w:val="1"/>
      <w:numFmt w:val="bullet"/>
      <w:lvlRestart w:val="0"/>
      <w:lvlText w:val=""/>
      <w:lvlJc w:val="left"/>
      <w:pPr>
        <w:tabs>
          <w:tab w:val="num" w:pos="453"/>
        </w:tabs>
        <w:ind w:left="453" w:hanging="453"/>
      </w:pPr>
      <w:rPr>
        <w:rFonts w:ascii="Symbol" w:hAnsi="Symbol" w:cs="Arial" w:hint="default"/>
        <w:sz w:val="20"/>
      </w:rPr>
    </w:lvl>
    <w:lvl w:ilvl="1">
      <w:start w:val="1"/>
      <w:numFmt w:val="lowerLetter"/>
      <w:lvlText w:val="-"/>
      <w:lvlJc w:val="left"/>
      <w:pPr>
        <w:tabs>
          <w:tab w:val="num" w:pos="907"/>
        </w:tabs>
        <w:ind w:left="907" w:hanging="454"/>
      </w:pPr>
      <w:rPr>
        <w:rFonts w:ascii="Arial" w:hAnsi="Arial" w:cs="Arial"/>
        <w:sz w:val="20"/>
      </w:rPr>
    </w:lvl>
    <w:lvl w:ilvl="2">
      <w:start w:val="1"/>
      <w:numFmt w:val="lowerRoman"/>
      <w:lvlText w:val="-"/>
      <w:lvlJc w:val="left"/>
      <w:pPr>
        <w:tabs>
          <w:tab w:val="num" w:pos="1360"/>
        </w:tabs>
        <w:ind w:left="1360" w:hanging="453"/>
      </w:pPr>
      <w:rPr>
        <w:rFonts w:ascii="Arial" w:hAnsi="Arial" w:cs="Arial"/>
        <w:sz w:val="20"/>
      </w:rPr>
    </w:lvl>
    <w:lvl w:ilvl="3">
      <w:start w:val="1"/>
      <w:numFmt w:val="bullet"/>
      <w:lvlText w:val="-"/>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32" w15:restartNumberingAfterBreak="0">
    <w:nsid w:val="6EF503B7"/>
    <w:multiLevelType w:val="multilevel"/>
    <w:tmpl w:val="7368F9FE"/>
    <w:lvl w:ilvl="0">
      <w:start w:val="1"/>
      <w:numFmt w:val="decimal"/>
      <w:lvlRestart w:val="0"/>
      <w:lvlText w:val="%1."/>
      <w:lvlJc w:val="left"/>
      <w:pPr>
        <w:tabs>
          <w:tab w:val="num" w:pos="453"/>
        </w:tabs>
        <w:ind w:left="453" w:hanging="453"/>
      </w:pPr>
      <w:rPr>
        <w:rFonts w:ascii="Georgia" w:hAnsi="Georgia" w:cs="Arial" w:hint="default"/>
        <w:sz w:val="20"/>
      </w:rPr>
    </w:lvl>
    <w:lvl w:ilvl="1">
      <w:start w:val="1"/>
      <w:numFmt w:val="lowerLetter"/>
      <w:lvlText w:val="%2)"/>
      <w:lvlJc w:val="left"/>
      <w:pPr>
        <w:tabs>
          <w:tab w:val="num" w:pos="907"/>
        </w:tabs>
        <w:ind w:left="907" w:hanging="454"/>
      </w:pPr>
      <w:rPr>
        <w:rFonts w:ascii="Arial" w:hAnsi="Arial" w:cs="Arial"/>
        <w:sz w:val="20"/>
      </w:rPr>
    </w:lvl>
    <w:lvl w:ilvl="2">
      <w:start w:val="1"/>
      <w:numFmt w:val="lowerRoman"/>
      <w:lvlText w:val="%3)"/>
      <w:lvlJc w:val="left"/>
      <w:pPr>
        <w:tabs>
          <w:tab w:val="num" w:pos="1360"/>
        </w:tabs>
        <w:ind w:left="1360" w:hanging="453"/>
      </w:pPr>
      <w:rPr>
        <w:rFonts w:ascii="Arial" w:hAnsi="Arial" w:cs="Arial"/>
        <w:sz w:val="20"/>
      </w:rPr>
    </w:lvl>
    <w:lvl w:ilvl="3">
      <w:start w:val="1"/>
      <w:numFmt w:val="decimal"/>
      <w:lvlText w:val="%4"/>
      <w:lvlJc w:val="left"/>
      <w:pPr>
        <w:tabs>
          <w:tab w:val="num" w:pos="1814"/>
        </w:tabs>
        <w:ind w:left="1814" w:hanging="454"/>
      </w:pPr>
      <w:rPr>
        <w:rFonts w:ascii="Arial" w:hAnsi="Arial" w:cs="Arial"/>
        <w:sz w:val="20"/>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33" w15:restartNumberingAfterBreak="0">
    <w:nsid w:val="70BD65A2"/>
    <w:multiLevelType w:val="multilevel"/>
    <w:tmpl w:val="71F8AB52"/>
    <w:lvl w:ilvl="0">
      <w:start w:val="1"/>
      <w:numFmt w:val="decimal"/>
      <w:lvlRestart w:val="0"/>
      <w:pStyle w:val="Heading1No"/>
      <w:lvlText w:val="%1)"/>
      <w:lvlJc w:val="left"/>
      <w:pPr>
        <w:tabs>
          <w:tab w:val="num" w:pos="454"/>
        </w:tabs>
        <w:ind w:left="454" w:hanging="454"/>
      </w:pPr>
    </w:lvl>
    <w:lvl w:ilvl="1">
      <w:start w:val="1"/>
      <w:numFmt w:val="decimal"/>
      <w:pStyle w:val="Heading2No"/>
      <w:lvlText w:val="%1.%2)"/>
      <w:lvlJc w:val="left"/>
      <w:pPr>
        <w:tabs>
          <w:tab w:val="num" w:pos="454"/>
        </w:tabs>
        <w:ind w:left="454" w:hanging="454"/>
      </w:pPr>
    </w:lvl>
    <w:lvl w:ilvl="2">
      <w:start w:val="1"/>
      <w:numFmt w:val="decimal"/>
      <w:pStyle w:val="Heading3No"/>
      <w:lvlText w:val="%1.%2.%3)"/>
      <w:lvlJc w:val="left"/>
      <w:pPr>
        <w:tabs>
          <w:tab w:val="num" w:pos="454"/>
        </w:tabs>
        <w:ind w:left="454" w:hanging="454"/>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4" w15:restartNumberingAfterBreak="0">
    <w:nsid w:val="76FE3A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4654602">
    <w:abstractNumId w:val="17"/>
  </w:num>
  <w:num w:numId="2" w16cid:durableId="365178717">
    <w:abstractNumId w:val="30"/>
  </w:num>
  <w:num w:numId="3" w16cid:durableId="905994371">
    <w:abstractNumId w:val="0"/>
  </w:num>
  <w:num w:numId="4" w16cid:durableId="1349605396">
    <w:abstractNumId w:val="24"/>
  </w:num>
  <w:num w:numId="5" w16cid:durableId="1636568807">
    <w:abstractNumId w:val="31"/>
  </w:num>
  <w:num w:numId="6" w16cid:durableId="1429502513">
    <w:abstractNumId w:val="24"/>
  </w:num>
  <w:num w:numId="7" w16cid:durableId="1091270079">
    <w:abstractNumId w:val="31"/>
  </w:num>
  <w:num w:numId="8" w16cid:durableId="869152391">
    <w:abstractNumId w:val="2"/>
  </w:num>
  <w:num w:numId="9" w16cid:durableId="1936093752">
    <w:abstractNumId w:val="5"/>
  </w:num>
  <w:num w:numId="10" w16cid:durableId="1503936138">
    <w:abstractNumId w:val="23"/>
  </w:num>
  <w:num w:numId="11" w16cid:durableId="915092315">
    <w:abstractNumId w:val="32"/>
  </w:num>
  <w:num w:numId="12" w16cid:durableId="727647559">
    <w:abstractNumId w:val="9"/>
  </w:num>
  <w:num w:numId="13" w16cid:durableId="128207003">
    <w:abstractNumId w:val="0"/>
  </w:num>
  <w:num w:numId="14" w16cid:durableId="374701592">
    <w:abstractNumId w:val="24"/>
  </w:num>
  <w:num w:numId="15" w16cid:durableId="1078484572">
    <w:abstractNumId w:val="30"/>
  </w:num>
  <w:num w:numId="16" w16cid:durableId="1368528503">
    <w:abstractNumId w:val="2"/>
  </w:num>
  <w:num w:numId="17" w16cid:durableId="2146191741">
    <w:abstractNumId w:val="5"/>
  </w:num>
  <w:num w:numId="18" w16cid:durableId="421226019">
    <w:abstractNumId w:val="12"/>
  </w:num>
  <w:num w:numId="19" w16cid:durableId="1478913256">
    <w:abstractNumId w:val="14"/>
  </w:num>
  <w:num w:numId="20" w16cid:durableId="1037854566">
    <w:abstractNumId w:val="22"/>
  </w:num>
  <w:num w:numId="21" w16cid:durableId="1918709296">
    <w:abstractNumId w:val="10"/>
  </w:num>
  <w:num w:numId="22" w16cid:durableId="1565487171">
    <w:abstractNumId w:val="13"/>
  </w:num>
  <w:num w:numId="23" w16cid:durableId="1038971768">
    <w:abstractNumId w:val="7"/>
  </w:num>
  <w:num w:numId="24" w16cid:durableId="1430347044">
    <w:abstractNumId w:val="1"/>
  </w:num>
  <w:num w:numId="25" w16cid:durableId="1820413171">
    <w:abstractNumId w:val="27"/>
  </w:num>
  <w:num w:numId="26" w16cid:durableId="803426833">
    <w:abstractNumId w:val="21"/>
  </w:num>
  <w:num w:numId="27" w16cid:durableId="1291668344">
    <w:abstractNumId w:val="25"/>
  </w:num>
  <w:num w:numId="28" w16cid:durableId="17196551">
    <w:abstractNumId w:val="4"/>
  </w:num>
  <w:num w:numId="29" w16cid:durableId="407921101">
    <w:abstractNumId w:val="33"/>
  </w:num>
  <w:num w:numId="30" w16cid:durableId="18149041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AddressFile" w:val="Address"/>
    <w:docVar w:name="DVarAddressInserted" w:val="Yes"/>
    <w:docVar w:name="DVarLanguage" w:val="Swedish"/>
    <w:docVar w:name="DVarLogotypeFile" w:val="SBF"/>
    <w:docVar w:name="DVarLogotypeInserted" w:val="Yes"/>
  </w:docVars>
  <w:rsids>
    <w:rsidRoot w:val="00CF75B4"/>
    <w:rsid w:val="00004663"/>
    <w:rsid w:val="00006808"/>
    <w:rsid w:val="00006CAE"/>
    <w:rsid w:val="00013340"/>
    <w:rsid w:val="00015318"/>
    <w:rsid w:val="00021CC3"/>
    <w:rsid w:val="00024843"/>
    <w:rsid w:val="00042344"/>
    <w:rsid w:val="000621CB"/>
    <w:rsid w:val="00062267"/>
    <w:rsid w:val="00062D55"/>
    <w:rsid w:val="00063BE7"/>
    <w:rsid w:val="00065E16"/>
    <w:rsid w:val="00070672"/>
    <w:rsid w:val="00070D62"/>
    <w:rsid w:val="00074B9C"/>
    <w:rsid w:val="00084C99"/>
    <w:rsid w:val="000A06D6"/>
    <w:rsid w:val="000A42BE"/>
    <w:rsid w:val="000A70E4"/>
    <w:rsid w:val="000C0BB3"/>
    <w:rsid w:val="000C6115"/>
    <w:rsid w:val="000C6A6D"/>
    <w:rsid w:val="000D0EA6"/>
    <w:rsid w:val="000E157B"/>
    <w:rsid w:val="000E280A"/>
    <w:rsid w:val="0010367B"/>
    <w:rsid w:val="0011150A"/>
    <w:rsid w:val="00112ABB"/>
    <w:rsid w:val="00116730"/>
    <w:rsid w:val="00121043"/>
    <w:rsid w:val="00124B7E"/>
    <w:rsid w:val="0013381B"/>
    <w:rsid w:val="00141850"/>
    <w:rsid w:val="00145E4F"/>
    <w:rsid w:val="00152F1B"/>
    <w:rsid w:val="00156724"/>
    <w:rsid w:val="001568E3"/>
    <w:rsid w:val="001572A0"/>
    <w:rsid w:val="00160699"/>
    <w:rsid w:val="00192943"/>
    <w:rsid w:val="00195457"/>
    <w:rsid w:val="001A480F"/>
    <w:rsid w:val="001B7B69"/>
    <w:rsid w:val="001C3F2F"/>
    <w:rsid w:val="001F78D9"/>
    <w:rsid w:val="002211C6"/>
    <w:rsid w:val="00222C32"/>
    <w:rsid w:val="002249D9"/>
    <w:rsid w:val="002375F4"/>
    <w:rsid w:val="00240078"/>
    <w:rsid w:val="00242750"/>
    <w:rsid w:val="00246B50"/>
    <w:rsid w:val="00250C7D"/>
    <w:rsid w:val="002538ED"/>
    <w:rsid w:val="002572CF"/>
    <w:rsid w:val="002672C7"/>
    <w:rsid w:val="00280B90"/>
    <w:rsid w:val="00284C34"/>
    <w:rsid w:val="00287D10"/>
    <w:rsid w:val="00294807"/>
    <w:rsid w:val="002A09A7"/>
    <w:rsid w:val="002A3508"/>
    <w:rsid w:val="002C1BE5"/>
    <w:rsid w:val="002C726F"/>
    <w:rsid w:val="002D025C"/>
    <w:rsid w:val="002D3BB0"/>
    <w:rsid w:val="002E5A93"/>
    <w:rsid w:val="002F008B"/>
    <w:rsid w:val="002F2792"/>
    <w:rsid w:val="00303B5C"/>
    <w:rsid w:val="00305F56"/>
    <w:rsid w:val="003146F8"/>
    <w:rsid w:val="00336388"/>
    <w:rsid w:val="0035032E"/>
    <w:rsid w:val="0035271F"/>
    <w:rsid w:val="003537FA"/>
    <w:rsid w:val="00354D0B"/>
    <w:rsid w:val="00363828"/>
    <w:rsid w:val="00371F21"/>
    <w:rsid w:val="0038209D"/>
    <w:rsid w:val="003866CF"/>
    <w:rsid w:val="00387A92"/>
    <w:rsid w:val="003A20C6"/>
    <w:rsid w:val="003A2D0E"/>
    <w:rsid w:val="003A6908"/>
    <w:rsid w:val="003B31B3"/>
    <w:rsid w:val="003B31C5"/>
    <w:rsid w:val="003B38B7"/>
    <w:rsid w:val="003D5710"/>
    <w:rsid w:val="003D7D8A"/>
    <w:rsid w:val="003E6176"/>
    <w:rsid w:val="003E7A7C"/>
    <w:rsid w:val="00400B49"/>
    <w:rsid w:val="0040165C"/>
    <w:rsid w:val="0040636C"/>
    <w:rsid w:val="00406B47"/>
    <w:rsid w:val="00407425"/>
    <w:rsid w:val="00423F47"/>
    <w:rsid w:val="0045394C"/>
    <w:rsid w:val="00454243"/>
    <w:rsid w:val="00461383"/>
    <w:rsid w:val="00462ADB"/>
    <w:rsid w:val="004701A8"/>
    <w:rsid w:val="004939F4"/>
    <w:rsid w:val="004A1B7E"/>
    <w:rsid w:val="004A7CF0"/>
    <w:rsid w:val="004B341D"/>
    <w:rsid w:val="004B7006"/>
    <w:rsid w:val="004C4FB2"/>
    <w:rsid w:val="004C5021"/>
    <w:rsid w:val="004D7177"/>
    <w:rsid w:val="004E3777"/>
    <w:rsid w:val="004E658A"/>
    <w:rsid w:val="004F5C67"/>
    <w:rsid w:val="00503511"/>
    <w:rsid w:val="00504518"/>
    <w:rsid w:val="00506BD0"/>
    <w:rsid w:val="00507476"/>
    <w:rsid w:val="005129C4"/>
    <w:rsid w:val="005368B1"/>
    <w:rsid w:val="00541BFF"/>
    <w:rsid w:val="005463F2"/>
    <w:rsid w:val="00551B24"/>
    <w:rsid w:val="00565F88"/>
    <w:rsid w:val="00573B78"/>
    <w:rsid w:val="005931C7"/>
    <w:rsid w:val="005A3BFC"/>
    <w:rsid w:val="005D09A1"/>
    <w:rsid w:val="005D0BE2"/>
    <w:rsid w:val="005D5BC0"/>
    <w:rsid w:val="005F1EDD"/>
    <w:rsid w:val="005F306C"/>
    <w:rsid w:val="005F4F72"/>
    <w:rsid w:val="006020B2"/>
    <w:rsid w:val="006021B5"/>
    <w:rsid w:val="00602F7E"/>
    <w:rsid w:val="0060351E"/>
    <w:rsid w:val="006043AC"/>
    <w:rsid w:val="00605B36"/>
    <w:rsid w:val="00605B95"/>
    <w:rsid w:val="006171E1"/>
    <w:rsid w:val="00617D2E"/>
    <w:rsid w:val="00620345"/>
    <w:rsid w:val="0063568D"/>
    <w:rsid w:val="0064669E"/>
    <w:rsid w:val="00660CE5"/>
    <w:rsid w:val="006626AE"/>
    <w:rsid w:val="00671394"/>
    <w:rsid w:val="006764DC"/>
    <w:rsid w:val="006768BA"/>
    <w:rsid w:val="006778F5"/>
    <w:rsid w:val="006815AC"/>
    <w:rsid w:val="00686342"/>
    <w:rsid w:val="00696C2D"/>
    <w:rsid w:val="006A04F2"/>
    <w:rsid w:val="006A2ECB"/>
    <w:rsid w:val="006A4C1E"/>
    <w:rsid w:val="006A632E"/>
    <w:rsid w:val="006A74A6"/>
    <w:rsid w:val="006A7A68"/>
    <w:rsid w:val="006B23ED"/>
    <w:rsid w:val="006B42F6"/>
    <w:rsid w:val="006B5B45"/>
    <w:rsid w:val="006B6114"/>
    <w:rsid w:val="006B7672"/>
    <w:rsid w:val="006C2B56"/>
    <w:rsid w:val="006D2A5F"/>
    <w:rsid w:val="006D78D7"/>
    <w:rsid w:val="006E1185"/>
    <w:rsid w:val="006E3ACC"/>
    <w:rsid w:val="006E7EAA"/>
    <w:rsid w:val="006F00EF"/>
    <w:rsid w:val="006F5D25"/>
    <w:rsid w:val="007047F7"/>
    <w:rsid w:val="00737D1A"/>
    <w:rsid w:val="00743049"/>
    <w:rsid w:val="00750870"/>
    <w:rsid w:val="00755566"/>
    <w:rsid w:val="00760E22"/>
    <w:rsid w:val="00761622"/>
    <w:rsid w:val="00763A9F"/>
    <w:rsid w:val="007725AF"/>
    <w:rsid w:val="0078210B"/>
    <w:rsid w:val="007A0BA9"/>
    <w:rsid w:val="007A37E8"/>
    <w:rsid w:val="007A4B52"/>
    <w:rsid w:val="007A5882"/>
    <w:rsid w:val="007B09C9"/>
    <w:rsid w:val="007B320D"/>
    <w:rsid w:val="007B61E7"/>
    <w:rsid w:val="007B782A"/>
    <w:rsid w:val="007B7E29"/>
    <w:rsid w:val="007D27AD"/>
    <w:rsid w:val="007D3820"/>
    <w:rsid w:val="007E1289"/>
    <w:rsid w:val="007E1A90"/>
    <w:rsid w:val="007F1095"/>
    <w:rsid w:val="00804CF4"/>
    <w:rsid w:val="00806486"/>
    <w:rsid w:val="00806BCE"/>
    <w:rsid w:val="00810FF2"/>
    <w:rsid w:val="00825BF0"/>
    <w:rsid w:val="00830DD7"/>
    <w:rsid w:val="00831F09"/>
    <w:rsid w:val="00841F95"/>
    <w:rsid w:val="008431A0"/>
    <w:rsid w:val="008462B1"/>
    <w:rsid w:val="008501C5"/>
    <w:rsid w:val="00851C1E"/>
    <w:rsid w:val="00863279"/>
    <w:rsid w:val="008656B3"/>
    <w:rsid w:val="008719A3"/>
    <w:rsid w:val="008973F0"/>
    <w:rsid w:val="008C0218"/>
    <w:rsid w:val="008C4532"/>
    <w:rsid w:val="008C55BE"/>
    <w:rsid w:val="008E28EA"/>
    <w:rsid w:val="008E3CF5"/>
    <w:rsid w:val="008E41D1"/>
    <w:rsid w:val="008E4E25"/>
    <w:rsid w:val="008F2BBB"/>
    <w:rsid w:val="008F3D35"/>
    <w:rsid w:val="008F7DAD"/>
    <w:rsid w:val="00900481"/>
    <w:rsid w:val="0090196D"/>
    <w:rsid w:val="00905980"/>
    <w:rsid w:val="009059FC"/>
    <w:rsid w:val="00906FF2"/>
    <w:rsid w:val="0091288D"/>
    <w:rsid w:val="0091394B"/>
    <w:rsid w:val="00930FB1"/>
    <w:rsid w:val="0094074A"/>
    <w:rsid w:val="009470A4"/>
    <w:rsid w:val="00957FC0"/>
    <w:rsid w:val="00970085"/>
    <w:rsid w:val="009771BF"/>
    <w:rsid w:val="00986493"/>
    <w:rsid w:val="00991707"/>
    <w:rsid w:val="009919EE"/>
    <w:rsid w:val="00993736"/>
    <w:rsid w:val="0099402B"/>
    <w:rsid w:val="00997595"/>
    <w:rsid w:val="009A08EF"/>
    <w:rsid w:val="009A59AC"/>
    <w:rsid w:val="009B0444"/>
    <w:rsid w:val="009B33EC"/>
    <w:rsid w:val="009B4CF9"/>
    <w:rsid w:val="009B7DC3"/>
    <w:rsid w:val="009C51B2"/>
    <w:rsid w:val="009D68C5"/>
    <w:rsid w:val="009E1D49"/>
    <w:rsid w:val="009E37F5"/>
    <w:rsid w:val="009E3B00"/>
    <w:rsid w:val="009F665E"/>
    <w:rsid w:val="00A0259D"/>
    <w:rsid w:val="00A15A87"/>
    <w:rsid w:val="00A173E9"/>
    <w:rsid w:val="00A214A0"/>
    <w:rsid w:val="00A218F9"/>
    <w:rsid w:val="00A21B61"/>
    <w:rsid w:val="00A231C8"/>
    <w:rsid w:val="00A30690"/>
    <w:rsid w:val="00A35DA8"/>
    <w:rsid w:val="00A36180"/>
    <w:rsid w:val="00A452BD"/>
    <w:rsid w:val="00A63054"/>
    <w:rsid w:val="00A6393A"/>
    <w:rsid w:val="00A6758C"/>
    <w:rsid w:val="00A704DF"/>
    <w:rsid w:val="00A72D25"/>
    <w:rsid w:val="00A74077"/>
    <w:rsid w:val="00A75A57"/>
    <w:rsid w:val="00A86547"/>
    <w:rsid w:val="00A91730"/>
    <w:rsid w:val="00A97CBA"/>
    <w:rsid w:val="00AA3BBE"/>
    <w:rsid w:val="00AA7914"/>
    <w:rsid w:val="00AB5599"/>
    <w:rsid w:val="00AC17BD"/>
    <w:rsid w:val="00AC75F6"/>
    <w:rsid w:val="00AE793E"/>
    <w:rsid w:val="00B00CAC"/>
    <w:rsid w:val="00B02200"/>
    <w:rsid w:val="00B03A09"/>
    <w:rsid w:val="00B10C53"/>
    <w:rsid w:val="00B2104C"/>
    <w:rsid w:val="00B2386F"/>
    <w:rsid w:val="00B30269"/>
    <w:rsid w:val="00B439E8"/>
    <w:rsid w:val="00B446BA"/>
    <w:rsid w:val="00B622F6"/>
    <w:rsid w:val="00B77B5A"/>
    <w:rsid w:val="00B80229"/>
    <w:rsid w:val="00B91657"/>
    <w:rsid w:val="00B92EB8"/>
    <w:rsid w:val="00BB3E84"/>
    <w:rsid w:val="00BB713F"/>
    <w:rsid w:val="00BC1FB2"/>
    <w:rsid w:val="00BC5163"/>
    <w:rsid w:val="00BD42FD"/>
    <w:rsid w:val="00BE3D28"/>
    <w:rsid w:val="00BF4841"/>
    <w:rsid w:val="00C060B3"/>
    <w:rsid w:val="00C1428A"/>
    <w:rsid w:val="00C1527A"/>
    <w:rsid w:val="00C156E6"/>
    <w:rsid w:val="00C164CD"/>
    <w:rsid w:val="00C20AA6"/>
    <w:rsid w:val="00C31514"/>
    <w:rsid w:val="00C31F78"/>
    <w:rsid w:val="00C32DB5"/>
    <w:rsid w:val="00C3740C"/>
    <w:rsid w:val="00C423F5"/>
    <w:rsid w:val="00C50493"/>
    <w:rsid w:val="00C5124E"/>
    <w:rsid w:val="00C520C9"/>
    <w:rsid w:val="00C6314D"/>
    <w:rsid w:val="00C632AE"/>
    <w:rsid w:val="00C65254"/>
    <w:rsid w:val="00C7624A"/>
    <w:rsid w:val="00C80F6A"/>
    <w:rsid w:val="00C824FC"/>
    <w:rsid w:val="00C908FE"/>
    <w:rsid w:val="00CA1572"/>
    <w:rsid w:val="00CA1960"/>
    <w:rsid w:val="00CA7DF4"/>
    <w:rsid w:val="00CB3DEB"/>
    <w:rsid w:val="00CD2B22"/>
    <w:rsid w:val="00CE183C"/>
    <w:rsid w:val="00CF0D9E"/>
    <w:rsid w:val="00CF3A21"/>
    <w:rsid w:val="00CF75B4"/>
    <w:rsid w:val="00D14666"/>
    <w:rsid w:val="00D15E45"/>
    <w:rsid w:val="00D2007B"/>
    <w:rsid w:val="00D24C7B"/>
    <w:rsid w:val="00D25D5F"/>
    <w:rsid w:val="00D52D5C"/>
    <w:rsid w:val="00D55827"/>
    <w:rsid w:val="00D56EAF"/>
    <w:rsid w:val="00D6287A"/>
    <w:rsid w:val="00D70E3A"/>
    <w:rsid w:val="00D7300A"/>
    <w:rsid w:val="00D74AF9"/>
    <w:rsid w:val="00D77263"/>
    <w:rsid w:val="00D80AC7"/>
    <w:rsid w:val="00D857A7"/>
    <w:rsid w:val="00D86596"/>
    <w:rsid w:val="00D958DF"/>
    <w:rsid w:val="00D973EF"/>
    <w:rsid w:val="00DA79A3"/>
    <w:rsid w:val="00DB0F87"/>
    <w:rsid w:val="00DB60A0"/>
    <w:rsid w:val="00DC204B"/>
    <w:rsid w:val="00DE24F5"/>
    <w:rsid w:val="00DF1DC1"/>
    <w:rsid w:val="00DF7725"/>
    <w:rsid w:val="00E00610"/>
    <w:rsid w:val="00E154F7"/>
    <w:rsid w:val="00E164ED"/>
    <w:rsid w:val="00E17ABF"/>
    <w:rsid w:val="00E204BE"/>
    <w:rsid w:val="00E20830"/>
    <w:rsid w:val="00E2361A"/>
    <w:rsid w:val="00E2603E"/>
    <w:rsid w:val="00E26D3A"/>
    <w:rsid w:val="00E4087A"/>
    <w:rsid w:val="00E56F31"/>
    <w:rsid w:val="00E6048C"/>
    <w:rsid w:val="00E63FD5"/>
    <w:rsid w:val="00E64A60"/>
    <w:rsid w:val="00E72CAE"/>
    <w:rsid w:val="00E73B82"/>
    <w:rsid w:val="00E932E1"/>
    <w:rsid w:val="00E975AD"/>
    <w:rsid w:val="00EA7D57"/>
    <w:rsid w:val="00ED1675"/>
    <w:rsid w:val="00ED293C"/>
    <w:rsid w:val="00ED3871"/>
    <w:rsid w:val="00ED3A0C"/>
    <w:rsid w:val="00EE7206"/>
    <w:rsid w:val="00F0291B"/>
    <w:rsid w:val="00F04FB5"/>
    <w:rsid w:val="00F064DC"/>
    <w:rsid w:val="00F1724A"/>
    <w:rsid w:val="00F20B7C"/>
    <w:rsid w:val="00F2426B"/>
    <w:rsid w:val="00F26702"/>
    <w:rsid w:val="00F26966"/>
    <w:rsid w:val="00F26D2A"/>
    <w:rsid w:val="00F35C48"/>
    <w:rsid w:val="00F47F94"/>
    <w:rsid w:val="00F60E66"/>
    <w:rsid w:val="00F634FC"/>
    <w:rsid w:val="00F66129"/>
    <w:rsid w:val="00F67667"/>
    <w:rsid w:val="00F7412D"/>
    <w:rsid w:val="00F751CE"/>
    <w:rsid w:val="00F9010B"/>
    <w:rsid w:val="00F96B59"/>
    <w:rsid w:val="00FB0E52"/>
    <w:rsid w:val="00FB1A9C"/>
    <w:rsid w:val="00FB5124"/>
    <w:rsid w:val="00FB56B8"/>
    <w:rsid w:val="00FB5EC5"/>
    <w:rsid w:val="00FB7F90"/>
    <w:rsid w:val="00FD184D"/>
    <w:rsid w:val="00FD42D4"/>
    <w:rsid w:val="00FE5508"/>
    <w:rsid w:val="00FF313B"/>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748E9"/>
  <w15:docId w15:val="{A95AC4FF-6680-4D58-9EB4-872A3F28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493"/>
    <w:pPr>
      <w:spacing w:line="276" w:lineRule="auto"/>
    </w:pPr>
    <w:rPr>
      <w:rFonts w:ascii="Arial" w:hAnsi="Arial" w:cs="Arial"/>
      <w:color w:val="000000"/>
      <w:sz w:val="22"/>
      <w:szCs w:val="24"/>
      <w:lang w:val="sv-SE" w:eastAsia="sv-SE"/>
    </w:rPr>
  </w:style>
  <w:style w:type="paragraph" w:styleId="Rubrik1">
    <w:name w:val="heading 1"/>
    <w:basedOn w:val="Normal"/>
    <w:next w:val="Normal"/>
    <w:link w:val="Rubrik1Char"/>
    <w:qFormat/>
    <w:rsid w:val="00986493"/>
    <w:pPr>
      <w:keepNext/>
      <w:spacing w:before="360" w:after="60"/>
      <w:outlineLvl w:val="0"/>
    </w:pPr>
    <w:rPr>
      <w:rFonts w:eastAsiaTheme="majorEastAsia"/>
      <w:b/>
      <w:bCs/>
      <w:sz w:val="24"/>
      <w:szCs w:val="28"/>
    </w:rPr>
  </w:style>
  <w:style w:type="paragraph" w:styleId="Rubrik2">
    <w:name w:val="heading 2"/>
    <w:basedOn w:val="Normal"/>
    <w:next w:val="Normal"/>
    <w:link w:val="Rubrik2Char"/>
    <w:unhideWhenUsed/>
    <w:qFormat/>
    <w:rsid w:val="00986493"/>
    <w:pPr>
      <w:keepNext/>
      <w:spacing w:before="360" w:after="60"/>
      <w:outlineLvl w:val="1"/>
    </w:pPr>
    <w:rPr>
      <w:rFonts w:eastAsiaTheme="majorEastAsia"/>
      <w:b/>
      <w:bCs/>
      <w:szCs w:val="26"/>
    </w:rPr>
  </w:style>
  <w:style w:type="paragraph" w:styleId="Rubrik3">
    <w:name w:val="heading 3"/>
    <w:basedOn w:val="Normal"/>
    <w:next w:val="Normal"/>
    <w:link w:val="Rubrik3Char"/>
    <w:unhideWhenUsed/>
    <w:qFormat/>
    <w:rsid w:val="00986493"/>
    <w:pPr>
      <w:keepNext/>
      <w:spacing w:before="360" w:after="60"/>
      <w:outlineLvl w:val="2"/>
    </w:pPr>
    <w:rPr>
      <w:rFonts w:eastAsiaTheme="majorEastAsia"/>
      <w:bCs/>
      <w:i/>
    </w:rPr>
  </w:style>
  <w:style w:type="paragraph" w:styleId="Rubrik4">
    <w:name w:val="heading 4"/>
    <w:basedOn w:val="Normal"/>
    <w:next w:val="Normal"/>
    <w:link w:val="Rubrik4Char"/>
    <w:semiHidden/>
    <w:unhideWhenUsed/>
    <w:qFormat/>
    <w:rsid w:val="00C7624A"/>
    <w:pPr>
      <w:keepNext/>
      <w:keepLines/>
      <w:numPr>
        <w:ilvl w:val="3"/>
        <w:numId w:val="29"/>
      </w:numPr>
      <w:spacing w:before="200"/>
      <w:outlineLvl w:val="3"/>
    </w:pPr>
    <w:rPr>
      <w:rFonts w:asciiTheme="majorHAnsi" w:eastAsiaTheme="majorEastAsia" w:hAnsiTheme="majorHAnsi" w:cstheme="majorBidi"/>
      <w:b/>
      <w:bCs/>
      <w:i/>
      <w:iCs/>
      <w:color w:val="0063AC" w:themeColor="accent1"/>
    </w:rPr>
  </w:style>
  <w:style w:type="paragraph" w:styleId="Rubrik5">
    <w:name w:val="heading 5"/>
    <w:basedOn w:val="Normal"/>
    <w:next w:val="Normal"/>
    <w:link w:val="Rubrik5Char"/>
    <w:semiHidden/>
    <w:unhideWhenUsed/>
    <w:qFormat/>
    <w:rsid w:val="00C7624A"/>
    <w:pPr>
      <w:keepNext/>
      <w:keepLines/>
      <w:numPr>
        <w:ilvl w:val="4"/>
        <w:numId w:val="29"/>
      </w:numPr>
      <w:spacing w:before="200"/>
      <w:outlineLvl w:val="4"/>
    </w:pPr>
    <w:rPr>
      <w:rFonts w:asciiTheme="majorHAnsi" w:eastAsiaTheme="majorEastAsia" w:hAnsiTheme="majorHAnsi" w:cstheme="majorBidi"/>
      <w:color w:val="003055" w:themeColor="accent1" w:themeShade="7F"/>
    </w:rPr>
  </w:style>
  <w:style w:type="paragraph" w:styleId="Rubrik6">
    <w:name w:val="heading 6"/>
    <w:basedOn w:val="Normal"/>
    <w:next w:val="Normal"/>
    <w:link w:val="Rubrik6Char"/>
    <w:semiHidden/>
    <w:unhideWhenUsed/>
    <w:qFormat/>
    <w:rsid w:val="00C7624A"/>
    <w:pPr>
      <w:keepNext/>
      <w:keepLines/>
      <w:numPr>
        <w:ilvl w:val="5"/>
        <w:numId w:val="29"/>
      </w:numPr>
      <w:spacing w:before="200"/>
      <w:outlineLvl w:val="5"/>
    </w:pPr>
    <w:rPr>
      <w:rFonts w:asciiTheme="majorHAnsi" w:eastAsiaTheme="majorEastAsia" w:hAnsiTheme="majorHAnsi" w:cstheme="majorBidi"/>
      <w:i/>
      <w:iCs/>
      <w:color w:val="003055" w:themeColor="accent1" w:themeShade="7F"/>
    </w:rPr>
  </w:style>
  <w:style w:type="paragraph" w:styleId="Rubrik7">
    <w:name w:val="heading 7"/>
    <w:basedOn w:val="Normal"/>
    <w:next w:val="Normal"/>
    <w:link w:val="Rubrik7Char"/>
    <w:semiHidden/>
    <w:unhideWhenUsed/>
    <w:qFormat/>
    <w:rsid w:val="00C7624A"/>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unhideWhenUsed/>
    <w:qFormat/>
    <w:rsid w:val="00C7624A"/>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semiHidden/>
    <w:unhideWhenUsed/>
    <w:qFormat/>
    <w:rsid w:val="00C7624A"/>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6493"/>
    <w:rPr>
      <w:rFonts w:ascii="Arial" w:eastAsiaTheme="majorEastAsia" w:hAnsi="Arial" w:cs="Arial"/>
      <w:b/>
      <w:bCs/>
      <w:noProof w:val="0"/>
      <w:color w:val="000000"/>
      <w:sz w:val="24"/>
      <w:szCs w:val="28"/>
      <w:lang w:val="sv-SE" w:eastAsia="sv-SE"/>
    </w:rPr>
  </w:style>
  <w:style w:type="character" w:customStyle="1" w:styleId="Rubrik2Char">
    <w:name w:val="Rubrik 2 Char"/>
    <w:basedOn w:val="Standardstycketeckensnitt"/>
    <w:link w:val="Rubrik2"/>
    <w:rsid w:val="00986493"/>
    <w:rPr>
      <w:rFonts w:ascii="Arial" w:eastAsiaTheme="majorEastAsia" w:hAnsi="Arial" w:cs="Arial"/>
      <w:b/>
      <w:bCs/>
      <w:noProof w:val="0"/>
      <w:color w:val="000000"/>
      <w:sz w:val="22"/>
      <w:szCs w:val="26"/>
      <w:lang w:val="sv-SE" w:eastAsia="sv-SE"/>
    </w:rPr>
  </w:style>
  <w:style w:type="character" w:customStyle="1" w:styleId="Rubrik3Char">
    <w:name w:val="Rubrik 3 Char"/>
    <w:basedOn w:val="Standardstycketeckensnitt"/>
    <w:link w:val="Rubrik3"/>
    <w:rsid w:val="00986493"/>
    <w:rPr>
      <w:rFonts w:ascii="Arial" w:eastAsiaTheme="majorEastAsia" w:hAnsi="Arial" w:cs="Arial"/>
      <w:bCs/>
      <w:i/>
      <w:noProof w:val="0"/>
      <w:color w:val="000000"/>
      <w:sz w:val="22"/>
      <w:szCs w:val="24"/>
      <w:lang w:val="sv-SE" w:eastAsia="sv-SE"/>
    </w:rPr>
  </w:style>
  <w:style w:type="numbering" w:customStyle="1" w:styleId="CompanyList">
    <w:name w:val="Company_List"/>
    <w:basedOn w:val="Ingenlista"/>
    <w:rsid w:val="002C726F"/>
    <w:pPr>
      <w:numPr>
        <w:numId w:val="26"/>
      </w:numPr>
    </w:pPr>
  </w:style>
  <w:style w:type="numbering" w:customStyle="1" w:styleId="CompanyListBullet">
    <w:name w:val="Company_ListBullet"/>
    <w:basedOn w:val="Ingenlista"/>
    <w:rsid w:val="002C726F"/>
    <w:pPr>
      <w:numPr>
        <w:numId w:val="27"/>
      </w:numPr>
    </w:pPr>
  </w:style>
  <w:style w:type="paragraph" w:styleId="Punktlista">
    <w:name w:val="List Bullet"/>
    <w:basedOn w:val="Normal"/>
    <w:rsid w:val="00986493"/>
    <w:pPr>
      <w:numPr>
        <w:numId w:val="13"/>
      </w:numPr>
      <w:contextualSpacing/>
    </w:pPr>
  </w:style>
  <w:style w:type="paragraph" w:styleId="Sidhuvud">
    <w:name w:val="header"/>
    <w:basedOn w:val="Normal"/>
    <w:link w:val="SidhuvudChar"/>
    <w:rsid w:val="00986493"/>
    <w:pPr>
      <w:tabs>
        <w:tab w:val="center" w:pos="4680"/>
        <w:tab w:val="right" w:pos="9360"/>
      </w:tabs>
    </w:pPr>
    <w:rPr>
      <w:sz w:val="18"/>
    </w:rPr>
  </w:style>
  <w:style w:type="character" w:customStyle="1" w:styleId="SidhuvudChar">
    <w:name w:val="Sidhuvud Char"/>
    <w:basedOn w:val="Standardstycketeckensnitt"/>
    <w:link w:val="Sidhuvud"/>
    <w:rsid w:val="00986493"/>
    <w:rPr>
      <w:rFonts w:ascii="Arial" w:hAnsi="Arial" w:cs="Arial"/>
      <w:noProof w:val="0"/>
      <w:color w:val="000000"/>
      <w:sz w:val="18"/>
      <w:szCs w:val="24"/>
      <w:lang w:val="sv-SE" w:eastAsia="sv-SE"/>
    </w:rPr>
  </w:style>
  <w:style w:type="paragraph" w:styleId="Sidfot">
    <w:name w:val="footer"/>
    <w:basedOn w:val="Normal"/>
    <w:link w:val="SidfotChar"/>
    <w:uiPriority w:val="99"/>
    <w:rsid w:val="00986493"/>
    <w:pPr>
      <w:tabs>
        <w:tab w:val="center" w:pos="4680"/>
        <w:tab w:val="right" w:pos="9360"/>
      </w:tabs>
    </w:pPr>
    <w:rPr>
      <w:sz w:val="18"/>
    </w:rPr>
  </w:style>
  <w:style w:type="character" w:customStyle="1" w:styleId="SidfotChar">
    <w:name w:val="Sidfot Char"/>
    <w:basedOn w:val="Standardstycketeckensnitt"/>
    <w:link w:val="Sidfot"/>
    <w:uiPriority w:val="99"/>
    <w:rsid w:val="00986493"/>
    <w:rPr>
      <w:rFonts w:ascii="Arial" w:hAnsi="Arial" w:cs="Arial"/>
      <w:noProof w:val="0"/>
      <w:color w:val="000000"/>
      <w:sz w:val="18"/>
      <w:szCs w:val="24"/>
      <w:lang w:val="sv-SE" w:eastAsia="sv-SE"/>
    </w:rPr>
  </w:style>
  <w:style w:type="paragraph" w:styleId="Innehll1">
    <w:name w:val="toc 1"/>
    <w:basedOn w:val="Normal"/>
    <w:next w:val="Normal"/>
    <w:autoRedefine/>
    <w:rsid w:val="00986493"/>
    <w:pPr>
      <w:spacing w:before="260"/>
    </w:pPr>
    <w:rPr>
      <w:b/>
    </w:rPr>
  </w:style>
  <w:style w:type="paragraph" w:styleId="Innehll2">
    <w:name w:val="toc 2"/>
    <w:basedOn w:val="Normal"/>
    <w:next w:val="Normal"/>
    <w:autoRedefine/>
    <w:rsid w:val="00986493"/>
    <w:pPr>
      <w:ind w:left="200"/>
    </w:pPr>
  </w:style>
  <w:style w:type="paragraph" w:styleId="Innehll3">
    <w:name w:val="toc 3"/>
    <w:basedOn w:val="Normal"/>
    <w:next w:val="Normal"/>
    <w:autoRedefine/>
    <w:rsid w:val="00986493"/>
    <w:pPr>
      <w:ind w:left="400"/>
    </w:pPr>
  </w:style>
  <w:style w:type="paragraph" w:styleId="Innehll4">
    <w:name w:val="toc 4"/>
    <w:basedOn w:val="Normal"/>
    <w:next w:val="Normal"/>
    <w:autoRedefine/>
    <w:rsid w:val="00986493"/>
    <w:pPr>
      <w:ind w:left="600"/>
    </w:pPr>
  </w:style>
  <w:style w:type="paragraph" w:styleId="Lista">
    <w:name w:val="List"/>
    <w:basedOn w:val="Normal"/>
    <w:rsid w:val="00986493"/>
    <w:pPr>
      <w:ind w:left="283" w:hanging="283"/>
      <w:contextualSpacing/>
    </w:pPr>
  </w:style>
  <w:style w:type="paragraph" w:styleId="Listafortstt">
    <w:name w:val="List Continue"/>
    <w:basedOn w:val="Normal"/>
    <w:rsid w:val="00986493"/>
    <w:pPr>
      <w:spacing w:after="120"/>
      <w:ind w:left="283"/>
      <w:contextualSpacing/>
    </w:pPr>
  </w:style>
  <w:style w:type="paragraph" w:styleId="Liststycke">
    <w:name w:val="List Paragraph"/>
    <w:basedOn w:val="Normal"/>
    <w:uiPriority w:val="34"/>
    <w:qFormat/>
    <w:rsid w:val="00986493"/>
    <w:pPr>
      <w:ind w:left="720"/>
      <w:contextualSpacing/>
    </w:pPr>
  </w:style>
  <w:style w:type="numbering" w:customStyle="1" w:styleId="Nummerlista">
    <w:name w:val="Nummer lista"/>
    <w:basedOn w:val="Ingenlista"/>
    <w:semiHidden/>
    <w:rsid w:val="00986493"/>
    <w:pPr>
      <w:numPr>
        <w:numId w:val="8"/>
      </w:numPr>
    </w:pPr>
  </w:style>
  <w:style w:type="numbering" w:customStyle="1" w:styleId="Punkterlista">
    <w:name w:val="Punkter lista"/>
    <w:basedOn w:val="Ingenlista"/>
    <w:semiHidden/>
    <w:rsid w:val="00986493"/>
    <w:pPr>
      <w:numPr>
        <w:numId w:val="9"/>
      </w:numPr>
    </w:pPr>
  </w:style>
  <w:style w:type="table" w:styleId="Tabellrutnt">
    <w:name w:val="Table Grid"/>
    <w:basedOn w:val="Normaltabell"/>
    <w:rsid w:val="009864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gtext">
    <w:name w:val="Balloon Text"/>
    <w:basedOn w:val="Normal"/>
    <w:link w:val="BallongtextChar"/>
    <w:rsid w:val="009864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6493"/>
    <w:rPr>
      <w:rFonts w:ascii="Tahoma" w:hAnsi="Tahoma" w:cs="Tahoma"/>
      <w:noProof w:val="0"/>
      <w:color w:val="000000"/>
      <w:sz w:val="16"/>
      <w:szCs w:val="16"/>
      <w:lang w:val="sv-SE" w:eastAsia="sv-SE"/>
    </w:rPr>
  </w:style>
  <w:style w:type="paragraph" w:customStyle="1" w:styleId="Normalutanavstnd">
    <w:name w:val="Normal utan avstånd"/>
    <w:basedOn w:val="Normal"/>
    <w:rsid w:val="00986493"/>
  </w:style>
  <w:style w:type="paragraph" w:customStyle="1" w:styleId="Etikett">
    <w:name w:val="Etikett"/>
    <w:basedOn w:val="Normal"/>
    <w:rsid w:val="00E56F31"/>
    <w:pPr>
      <w:jc w:val="right"/>
    </w:pPr>
    <w:rPr>
      <w:sz w:val="18"/>
    </w:rPr>
  </w:style>
  <w:style w:type="paragraph" w:customStyle="1" w:styleId="Huvudrubrik">
    <w:name w:val="Huvudrubrik"/>
    <w:basedOn w:val="Normal"/>
    <w:next w:val="Normal"/>
    <w:link w:val="HuvudrubrikChar"/>
    <w:qFormat/>
    <w:rsid w:val="006A2ECB"/>
    <w:pPr>
      <w:spacing w:before="360" w:after="120" w:line="240" w:lineRule="auto"/>
    </w:pPr>
    <w:rPr>
      <w:b/>
      <w:sz w:val="28"/>
    </w:rPr>
  </w:style>
  <w:style w:type="paragraph" w:customStyle="1" w:styleId="Heading1No">
    <w:name w:val="Heading_1 No"/>
    <w:basedOn w:val="Normal"/>
    <w:next w:val="Normal"/>
    <w:link w:val="Heading1NoChar"/>
    <w:rsid w:val="00C7624A"/>
    <w:pPr>
      <w:keepNext/>
      <w:numPr>
        <w:numId w:val="29"/>
      </w:numPr>
      <w:spacing w:before="360" w:after="60"/>
      <w:outlineLvl w:val="0"/>
    </w:pPr>
    <w:rPr>
      <w:b/>
      <w:sz w:val="24"/>
    </w:rPr>
  </w:style>
  <w:style w:type="character" w:customStyle="1" w:styleId="HuvudrubrikChar">
    <w:name w:val="Huvudrubrik Char"/>
    <w:basedOn w:val="Standardstycketeckensnitt"/>
    <w:link w:val="Huvudrubrik"/>
    <w:rsid w:val="008719A3"/>
    <w:rPr>
      <w:rFonts w:ascii="Arial" w:hAnsi="Arial" w:cs="Arial"/>
      <w:b/>
      <w:noProof w:val="0"/>
      <w:color w:val="000000"/>
      <w:sz w:val="28"/>
      <w:szCs w:val="24"/>
      <w:lang w:val="sv-SE" w:eastAsia="sv-SE"/>
    </w:rPr>
  </w:style>
  <w:style w:type="character" w:customStyle="1" w:styleId="Heading1NoChar">
    <w:name w:val="Heading_1 No Char"/>
    <w:basedOn w:val="Standardstycketeckensnitt"/>
    <w:link w:val="Heading1No"/>
    <w:rsid w:val="00C7624A"/>
    <w:rPr>
      <w:rFonts w:ascii="Arial" w:hAnsi="Arial" w:cs="Arial"/>
      <w:b/>
      <w:noProof w:val="0"/>
      <w:color w:val="000000"/>
      <w:sz w:val="24"/>
      <w:szCs w:val="24"/>
      <w:lang w:val="sv-SE" w:eastAsia="sv-SE"/>
    </w:rPr>
  </w:style>
  <w:style w:type="paragraph" w:customStyle="1" w:styleId="Heading2No">
    <w:name w:val="Heading_2 No"/>
    <w:basedOn w:val="Normal"/>
    <w:next w:val="Normal"/>
    <w:link w:val="Heading2NoChar"/>
    <w:rsid w:val="00C7624A"/>
    <w:pPr>
      <w:keepNext/>
      <w:numPr>
        <w:ilvl w:val="1"/>
        <w:numId w:val="29"/>
      </w:numPr>
      <w:spacing w:before="360" w:after="60"/>
      <w:outlineLvl w:val="1"/>
    </w:pPr>
    <w:rPr>
      <w:b/>
    </w:rPr>
  </w:style>
  <w:style w:type="character" w:customStyle="1" w:styleId="Heading2NoChar">
    <w:name w:val="Heading_2 No Char"/>
    <w:basedOn w:val="Standardstycketeckensnitt"/>
    <w:link w:val="Heading2No"/>
    <w:rsid w:val="00C7624A"/>
    <w:rPr>
      <w:rFonts w:ascii="Arial" w:hAnsi="Arial" w:cs="Arial"/>
      <w:b/>
      <w:noProof w:val="0"/>
      <w:color w:val="000000"/>
      <w:sz w:val="22"/>
      <w:szCs w:val="24"/>
      <w:lang w:val="sv-SE" w:eastAsia="sv-SE"/>
    </w:rPr>
  </w:style>
  <w:style w:type="paragraph" w:customStyle="1" w:styleId="Heading3No">
    <w:name w:val="Heading_3 No"/>
    <w:basedOn w:val="Normal"/>
    <w:next w:val="Normal"/>
    <w:link w:val="Heading3NoChar"/>
    <w:rsid w:val="00C7624A"/>
    <w:pPr>
      <w:keepNext/>
      <w:numPr>
        <w:ilvl w:val="2"/>
        <w:numId w:val="29"/>
      </w:numPr>
      <w:spacing w:before="360" w:after="60"/>
      <w:outlineLvl w:val="2"/>
    </w:pPr>
    <w:rPr>
      <w:i/>
    </w:rPr>
  </w:style>
  <w:style w:type="character" w:customStyle="1" w:styleId="Heading3NoChar">
    <w:name w:val="Heading_3 No Char"/>
    <w:basedOn w:val="Standardstycketeckensnitt"/>
    <w:link w:val="Heading3No"/>
    <w:rsid w:val="00C7624A"/>
    <w:rPr>
      <w:rFonts w:ascii="Arial" w:hAnsi="Arial" w:cs="Arial"/>
      <w:i/>
      <w:noProof w:val="0"/>
      <w:color w:val="000000"/>
      <w:sz w:val="22"/>
      <w:szCs w:val="24"/>
      <w:lang w:val="sv-SE" w:eastAsia="sv-SE"/>
    </w:rPr>
  </w:style>
  <w:style w:type="character" w:customStyle="1" w:styleId="Rubrik5Char">
    <w:name w:val="Rubrik 5 Char"/>
    <w:basedOn w:val="Standardstycketeckensnitt"/>
    <w:link w:val="Rubrik5"/>
    <w:semiHidden/>
    <w:rsid w:val="00C7624A"/>
    <w:rPr>
      <w:rFonts w:asciiTheme="majorHAnsi" w:eastAsiaTheme="majorEastAsia" w:hAnsiTheme="majorHAnsi" w:cstheme="majorBidi"/>
      <w:noProof w:val="0"/>
      <w:color w:val="003055" w:themeColor="accent1" w:themeShade="7F"/>
      <w:sz w:val="22"/>
      <w:szCs w:val="24"/>
      <w:lang w:val="sv-SE" w:eastAsia="sv-SE"/>
    </w:rPr>
  </w:style>
  <w:style w:type="character" w:customStyle="1" w:styleId="Rubrik6Char">
    <w:name w:val="Rubrik 6 Char"/>
    <w:basedOn w:val="Standardstycketeckensnitt"/>
    <w:link w:val="Rubrik6"/>
    <w:semiHidden/>
    <w:rsid w:val="00C7624A"/>
    <w:rPr>
      <w:rFonts w:asciiTheme="majorHAnsi" w:eastAsiaTheme="majorEastAsia" w:hAnsiTheme="majorHAnsi" w:cstheme="majorBidi"/>
      <w:i/>
      <w:iCs/>
      <w:noProof w:val="0"/>
      <w:color w:val="003055" w:themeColor="accent1" w:themeShade="7F"/>
      <w:sz w:val="22"/>
      <w:szCs w:val="24"/>
      <w:lang w:val="sv-SE" w:eastAsia="sv-SE"/>
    </w:rPr>
  </w:style>
  <w:style w:type="character" w:customStyle="1" w:styleId="Rubrik7Char">
    <w:name w:val="Rubrik 7 Char"/>
    <w:basedOn w:val="Standardstycketeckensnitt"/>
    <w:link w:val="Rubrik7"/>
    <w:semiHidden/>
    <w:rsid w:val="00C7624A"/>
    <w:rPr>
      <w:rFonts w:asciiTheme="majorHAnsi" w:eastAsiaTheme="majorEastAsia" w:hAnsiTheme="majorHAnsi" w:cstheme="majorBidi"/>
      <w:i/>
      <w:iCs/>
      <w:noProof w:val="0"/>
      <w:color w:val="404040" w:themeColor="text1" w:themeTint="BF"/>
      <w:sz w:val="22"/>
      <w:szCs w:val="24"/>
      <w:lang w:val="sv-SE" w:eastAsia="sv-SE"/>
    </w:rPr>
  </w:style>
  <w:style w:type="character" w:customStyle="1" w:styleId="Rubrik8Char">
    <w:name w:val="Rubrik 8 Char"/>
    <w:basedOn w:val="Standardstycketeckensnitt"/>
    <w:link w:val="Rubrik8"/>
    <w:semiHidden/>
    <w:rsid w:val="00C7624A"/>
    <w:rPr>
      <w:rFonts w:asciiTheme="majorHAnsi" w:eastAsiaTheme="majorEastAsia" w:hAnsiTheme="majorHAnsi" w:cstheme="majorBidi"/>
      <w:noProof w:val="0"/>
      <w:color w:val="404040" w:themeColor="text1" w:themeTint="BF"/>
      <w:lang w:val="sv-SE" w:eastAsia="sv-SE"/>
    </w:rPr>
  </w:style>
  <w:style w:type="character" w:customStyle="1" w:styleId="Rubrik9Char">
    <w:name w:val="Rubrik 9 Char"/>
    <w:basedOn w:val="Standardstycketeckensnitt"/>
    <w:link w:val="Rubrik9"/>
    <w:semiHidden/>
    <w:rsid w:val="00C7624A"/>
    <w:rPr>
      <w:rFonts w:asciiTheme="majorHAnsi" w:eastAsiaTheme="majorEastAsia" w:hAnsiTheme="majorHAnsi" w:cstheme="majorBidi"/>
      <w:i/>
      <w:iCs/>
      <w:noProof w:val="0"/>
      <w:color w:val="404040" w:themeColor="text1" w:themeTint="BF"/>
      <w:lang w:val="sv-SE" w:eastAsia="sv-SE"/>
    </w:rPr>
  </w:style>
  <w:style w:type="character" w:customStyle="1" w:styleId="Rubrik4Char">
    <w:name w:val="Rubrik 4 Char"/>
    <w:basedOn w:val="Standardstycketeckensnitt"/>
    <w:link w:val="Rubrik4"/>
    <w:semiHidden/>
    <w:rsid w:val="00C7624A"/>
    <w:rPr>
      <w:rFonts w:asciiTheme="majorHAnsi" w:eastAsiaTheme="majorEastAsia" w:hAnsiTheme="majorHAnsi" w:cstheme="majorBidi"/>
      <w:b/>
      <w:bCs/>
      <w:i/>
      <w:iCs/>
      <w:noProof w:val="0"/>
      <w:color w:val="0063AC" w:themeColor="accent1"/>
      <w:sz w:val="22"/>
      <w:szCs w:val="24"/>
      <w:lang w:val="sv-SE" w:eastAsia="sv-SE"/>
    </w:rPr>
  </w:style>
  <w:style w:type="paragraph" w:styleId="Fotnotstext">
    <w:name w:val="footnote text"/>
    <w:basedOn w:val="Normal"/>
    <w:link w:val="FotnotstextChar"/>
    <w:rsid w:val="00CF75B4"/>
    <w:pPr>
      <w:spacing w:line="240" w:lineRule="auto"/>
    </w:pPr>
    <w:rPr>
      <w:rFonts w:ascii="Times New Roman" w:hAnsi="Times New Roman" w:cs="Times New Roman"/>
      <w:color w:val="auto"/>
      <w:sz w:val="20"/>
      <w:szCs w:val="20"/>
      <w:lang w:eastAsia="en-US"/>
    </w:rPr>
  </w:style>
  <w:style w:type="character" w:customStyle="1" w:styleId="FotnotstextChar">
    <w:name w:val="Fotnotstext Char"/>
    <w:basedOn w:val="Standardstycketeckensnitt"/>
    <w:link w:val="Fotnotstext"/>
    <w:rsid w:val="00CF75B4"/>
    <w:rPr>
      <w:noProof w:val="0"/>
      <w:lang w:val="sv-SE"/>
    </w:rPr>
  </w:style>
  <w:style w:type="character" w:styleId="Fotnotsreferens">
    <w:name w:val="footnote reference"/>
    <w:basedOn w:val="Standardstycketeckensnitt"/>
    <w:rsid w:val="00CF75B4"/>
    <w:rPr>
      <w:noProof w:val="0"/>
      <w:vertAlign w:val="superscript"/>
      <w:lang w:val="sv-SE"/>
    </w:rPr>
  </w:style>
  <w:style w:type="character" w:styleId="Kommentarsreferens">
    <w:name w:val="annotation reference"/>
    <w:basedOn w:val="Standardstycketeckensnitt"/>
    <w:rsid w:val="00CF75B4"/>
    <w:rPr>
      <w:noProof w:val="0"/>
      <w:sz w:val="16"/>
      <w:szCs w:val="16"/>
      <w:lang w:val="sv-SE"/>
    </w:rPr>
  </w:style>
  <w:style w:type="paragraph" w:styleId="Kommentarer">
    <w:name w:val="annotation text"/>
    <w:basedOn w:val="Normal"/>
    <w:link w:val="KommentarerChar"/>
    <w:rsid w:val="00CF75B4"/>
    <w:pPr>
      <w:spacing w:line="240" w:lineRule="auto"/>
    </w:pPr>
    <w:rPr>
      <w:rFonts w:ascii="Times New Roman" w:hAnsi="Times New Roman" w:cs="Times New Roman"/>
      <w:color w:val="auto"/>
      <w:sz w:val="20"/>
      <w:szCs w:val="20"/>
      <w:lang w:eastAsia="en-US"/>
    </w:rPr>
  </w:style>
  <w:style w:type="character" w:customStyle="1" w:styleId="KommentarerChar">
    <w:name w:val="Kommentarer Char"/>
    <w:basedOn w:val="Standardstycketeckensnitt"/>
    <w:link w:val="Kommentarer"/>
    <w:rsid w:val="00CF75B4"/>
    <w:rPr>
      <w:noProof w:val="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eCargill-Ek\AppData\Roaming\Microsoft\Templates\Remiss.dotm" TargetMode="External"/></Relationships>
</file>

<file path=word/theme/theme1.xml><?xml version="1.0" encoding="utf-8"?>
<a:theme xmlns:a="http://schemas.openxmlformats.org/drawingml/2006/main" name="Office-tema">
  <a:themeElements>
    <a:clrScheme name="Privattandläkarna">
      <a:dk1>
        <a:sysClr val="windowText" lastClr="000000"/>
      </a:dk1>
      <a:lt1>
        <a:sysClr val="window" lastClr="FFFFFF"/>
      </a:lt1>
      <a:dk2>
        <a:srgbClr val="666666"/>
      </a:dk2>
      <a:lt2>
        <a:srgbClr val="FFFFFF"/>
      </a:lt2>
      <a:accent1>
        <a:srgbClr val="0063AC"/>
      </a:accent1>
      <a:accent2>
        <a:srgbClr val="62BEDD"/>
      </a:accent2>
      <a:accent3>
        <a:srgbClr val="666666"/>
      </a:accent3>
      <a:accent4>
        <a:srgbClr val="CCCCCC"/>
      </a:accent4>
      <a:accent5>
        <a:srgbClr val="E64415"/>
      </a:accent5>
      <a:accent6>
        <a:srgbClr val="666666"/>
      </a:accent6>
      <a:hlink>
        <a:srgbClr val="666666"/>
      </a:hlink>
      <a:folHlink>
        <a:srgbClr val="66666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7AF4-0970-4F52-83AD-D2BF4BC89360}">
  <ds:schemaRefs>
    <ds:schemaRef ds:uri="http://schemas.openxmlformats.org/officeDocument/2006/bibliography"/>
  </ds:schemaRefs>
</ds:datastoreItem>
</file>

<file path=docMetadata/LabelInfo.xml><?xml version="1.0" encoding="utf-8"?>
<clbl:labelList xmlns:clbl="http://schemas.microsoft.com/office/2020/mipLabelMetadata">
  <clbl:label id="{49852dc2-8ad6-48da-8a50-cf51cad5c586}" enabled="0" method="" siteId="{49852dc2-8ad6-48da-8a50-cf51cad5c586}" removed="1"/>
</clbl:labelList>
</file>

<file path=docProps/app.xml><?xml version="1.0" encoding="utf-8"?>
<Properties xmlns="http://schemas.openxmlformats.org/officeDocument/2006/extended-properties" xmlns:vt="http://schemas.openxmlformats.org/officeDocument/2006/docPropsVTypes">
  <Template>Remiss.dotm</Template>
  <TotalTime>3</TotalTime>
  <Pages>8</Pages>
  <Words>2798</Words>
  <Characters>17043</Characters>
  <Application>Microsoft Office Word</Application>
  <DocSecurity>0</DocSecurity>
  <Lines>321</Lines>
  <Paragraphs>64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Cargill-Ek</dc:creator>
  <cp:keywords/>
  <dc:description/>
  <cp:lastModifiedBy>Jessie Cargill-Ek</cp:lastModifiedBy>
  <cp:revision>2</cp:revision>
  <dcterms:created xsi:type="dcterms:W3CDTF">2026-08-17T11:02:00Z</dcterms:created>
  <dcterms:modified xsi:type="dcterms:W3CDTF">2026-08-17T11:02:00Z</dcterms:modified>
</cp:coreProperties>
</file>